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rPr>
      </w:pPr>
      <w:r>
        <w:rPr>
          <w:rFonts w:hint="eastAsia" w:ascii="宋体" w:hAnsi="宋体"/>
        </w:rPr>
        <w:t xml:space="preserve"> </w:t>
      </w: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方正黑体_GBK" w:eastAsia="方正黑体_GBK"/>
          <w:sz w:val="80"/>
          <w:szCs w:val="80"/>
        </w:rPr>
      </w:pPr>
      <w:r>
        <w:rPr>
          <w:rFonts w:hint="eastAsia" w:ascii="方正黑体_GBK" w:eastAsia="方正黑体_GBK"/>
          <w:sz w:val="80"/>
          <w:szCs w:val="80"/>
        </w:rPr>
        <w:t>重庆轻工职业学院</w:t>
      </w:r>
    </w:p>
    <w:p w14:paraId="0F4F9066">
      <w:pPr>
        <w:jc w:val="center"/>
        <w:outlineLvl w:val="0"/>
        <w:rPr>
          <w:rFonts w:hint="eastAsia" w:ascii="方正黑体_GBK" w:eastAsia="方正黑体_GBK"/>
          <w:sz w:val="80"/>
          <w:szCs w:val="80"/>
        </w:rPr>
      </w:pPr>
      <w:r>
        <w:rPr>
          <w:rFonts w:hint="eastAsia" w:ascii="方正黑体_GBK" w:eastAsia="方正黑体_GBK"/>
          <w:sz w:val="80"/>
          <w:szCs w:val="80"/>
          <w:lang w:eastAsia="zh-CN"/>
        </w:rPr>
        <w:t>邀请招标</w:t>
      </w:r>
      <w:r>
        <w:rPr>
          <w:rFonts w:hint="eastAsia" w:ascii="方正黑体_GBK" w:eastAsia="方正黑体_GBK"/>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default" w:ascii="方正小标宋_GBK" w:hAnsi="宋体" w:eastAsia="方正小标宋_GBK"/>
          <w:sz w:val="36"/>
          <w:szCs w:val="30"/>
          <w:lang w:val="en-US"/>
        </w:rPr>
      </w:pPr>
      <w:r>
        <w:rPr>
          <w:rFonts w:hint="eastAsia" w:ascii="方正小标宋_GBK" w:hAnsi="宋体" w:eastAsia="方正小标宋_GBK"/>
          <w:sz w:val="36"/>
          <w:szCs w:val="30"/>
        </w:rPr>
        <w:t>项目名称：</w:t>
      </w:r>
      <w:r>
        <w:rPr>
          <w:rFonts w:hint="eastAsia" w:ascii="方正小标宋_GBK" w:hAnsi="方正小标宋_GBK" w:eastAsia="方正小标宋_GBK" w:cs="方正小标宋_GBK"/>
          <w:color w:val="auto"/>
          <w:sz w:val="40"/>
          <w:szCs w:val="40"/>
          <w:highlight w:val="none"/>
        </w:rPr>
        <w:t>实验（实训）教学仪器设备搬迁</w:t>
      </w:r>
      <w:r>
        <w:rPr>
          <w:rFonts w:hint="eastAsia" w:ascii="方正小标宋_GBK" w:hAnsi="方正小标宋_GBK" w:eastAsia="方正小标宋_GBK" w:cs="方正小标宋_GBK"/>
          <w:color w:val="auto"/>
          <w:sz w:val="40"/>
          <w:szCs w:val="40"/>
          <w:highlight w:val="none"/>
          <w:lang w:val="en-US" w:eastAsia="zh-CN"/>
        </w:rPr>
        <w:t>服务</w:t>
      </w:r>
    </w:p>
    <w:p w14:paraId="07F08832">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lang w:eastAsia="zh-CN"/>
        </w:rPr>
        <w:t>项目编号：</w:t>
      </w:r>
      <w:r>
        <w:rPr>
          <w:rFonts w:hint="eastAsia" w:ascii="方正小标宋_GBK" w:hAnsi="宋体" w:eastAsia="方正小标宋_GBK"/>
          <w:sz w:val="36"/>
          <w:szCs w:val="30"/>
          <w:lang w:val="en-US" w:eastAsia="zh-CN"/>
        </w:rPr>
        <w:t>2025013</w:t>
      </w:r>
      <w:bookmarkStart w:id="22" w:name="_GoBack"/>
      <w:bookmarkEnd w:id="22"/>
    </w:p>
    <w:p w14:paraId="46886166">
      <w:pPr>
        <w:spacing w:line="700" w:lineRule="exact"/>
        <w:ind w:firstLine="1749" w:firstLineChars="486"/>
        <w:rPr>
          <w:rFonts w:hint="eastAsia" w:ascii="方正小标宋_GBK" w:hAnsi="宋体" w:eastAsia="方正小标宋_GBK"/>
          <w:sz w:val="36"/>
          <w:szCs w:val="30"/>
        </w:rPr>
      </w:pPr>
    </w:p>
    <w:p w14:paraId="7252B194">
      <w:pPr>
        <w:spacing w:line="700" w:lineRule="exact"/>
        <w:jc w:val="center"/>
        <w:rPr>
          <w:rFonts w:hint="eastAsia" w:ascii="宋体" w:hAnsi="宋体"/>
          <w:b/>
          <w:sz w:val="30"/>
          <w:szCs w:val="30"/>
        </w:rPr>
      </w:pPr>
    </w:p>
    <w:p w14:paraId="3E77441D">
      <w:pPr>
        <w:spacing w:line="700" w:lineRule="exact"/>
        <w:jc w:val="center"/>
        <w:rPr>
          <w:rFonts w:hint="eastAsia" w:ascii="宋体" w:hAnsi="宋体"/>
          <w:b/>
          <w:sz w:val="30"/>
          <w:szCs w:val="30"/>
        </w:rPr>
      </w:pPr>
    </w:p>
    <w:p w14:paraId="41267528">
      <w:pPr>
        <w:spacing w:line="700" w:lineRule="exact"/>
        <w:jc w:val="center"/>
        <w:rPr>
          <w:rFonts w:hint="eastAsia" w:ascii="宋体" w:hAnsi="宋体"/>
          <w:b/>
          <w:sz w:val="30"/>
          <w:szCs w:val="30"/>
        </w:rPr>
      </w:pPr>
    </w:p>
    <w:p w14:paraId="790DFEE0">
      <w:pPr>
        <w:spacing w:line="700" w:lineRule="exact"/>
        <w:jc w:val="center"/>
        <w:rPr>
          <w:rFonts w:hint="eastAsia" w:ascii="宋体" w:hAnsi="宋体"/>
          <w:b/>
          <w:sz w:val="30"/>
          <w:szCs w:val="30"/>
        </w:rPr>
      </w:pPr>
    </w:p>
    <w:p w14:paraId="55035445">
      <w:pPr>
        <w:spacing w:line="700" w:lineRule="exact"/>
        <w:ind w:firstLine="1800" w:firstLineChars="500"/>
        <w:rPr>
          <w:rFonts w:hint="eastAsia" w:ascii="宋体" w:hAnsi="宋体"/>
          <w:b/>
          <w:sz w:val="32"/>
          <w:szCs w:val="32"/>
        </w:rPr>
      </w:pPr>
      <w:r>
        <w:rPr>
          <w:rFonts w:hint="eastAsia" w:ascii="方正小标宋_GBK" w:hAnsi="宋体" w:eastAsia="方正小标宋_GBK"/>
          <w:sz w:val="36"/>
          <w:szCs w:val="30"/>
        </w:rPr>
        <w:t>采   购   人：重庆轻工职业学院</w:t>
      </w:r>
    </w:p>
    <w:p w14:paraId="62EF27D0">
      <w:pPr>
        <w:spacing w:line="700" w:lineRule="exact"/>
        <w:jc w:val="center"/>
        <w:rPr>
          <w:rFonts w:hint="eastAsia" w:ascii="方正小标宋_GBK" w:hAnsi="宋体" w:eastAsia="方正小标宋_GBK"/>
          <w:sz w:val="36"/>
          <w:szCs w:val="30"/>
        </w:rPr>
      </w:pP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年</w:t>
      </w:r>
      <w:r>
        <w:rPr>
          <w:rFonts w:hint="eastAsia" w:ascii="方正小标宋_GBK" w:hAnsi="宋体" w:eastAsia="方正小标宋_GBK"/>
          <w:sz w:val="36"/>
          <w:szCs w:val="30"/>
          <w:lang w:val="en-US" w:eastAsia="zh-CN"/>
        </w:rPr>
        <w:t>7</w:t>
      </w:r>
      <w:r>
        <w:rPr>
          <w:rFonts w:hint="eastAsia" w:ascii="方正小标宋_GBK" w:hAnsi="宋体" w:eastAsia="方正小标宋_GBK"/>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方正小标宋_GBK" w:hAnsi="宋体" w:eastAsia="方正小标宋_GBK"/>
          <w:b w:val="0"/>
          <w:szCs w:val="30"/>
        </w:rPr>
      </w:pPr>
      <w:bookmarkStart w:id="0" w:name="_Toc11641050"/>
      <w:bookmarkStart w:id="1" w:name="_Toc12789052"/>
      <w:bookmarkStart w:id="2" w:name="_Toc21026"/>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重庆轻工职业学院现需对含谷校区部分实验（实训）室教学仪器设备搬迁进行招标，欢迎有资格的供应商前来参与竞标。</w:t>
      </w:r>
    </w:p>
    <w:p w14:paraId="4EEF9876">
      <w:pPr>
        <w:pStyle w:val="4"/>
        <w:numPr>
          <w:ilvl w:val="0"/>
          <w:numId w:val="13"/>
        </w:numPr>
        <w:spacing w:before="0" w:after="0" w:line="400" w:lineRule="exact"/>
        <w:rPr>
          <w:rFonts w:hint="eastAsia" w:ascii="方正仿宋_GBK" w:eastAsia="方正仿宋_GBK"/>
          <w:sz w:val="24"/>
          <w:szCs w:val="24"/>
        </w:rPr>
      </w:pPr>
      <w:bookmarkStart w:id="3" w:name="_Toc317775175"/>
      <w:bookmarkStart w:id="4" w:name="_Toc32083"/>
      <w:bookmarkStart w:id="5" w:name="_Toc313893526"/>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p w14:paraId="2F2CD7C3">
      <w:pPr>
        <w:pStyle w:val="4"/>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6" w:name="_Toc31917"/>
      <w:bookmarkStart w:id="7" w:name="_Toc373860293"/>
      <w:bookmarkStart w:id="8" w:name="_Toc317775178"/>
      <w:r>
        <w:rPr>
          <w:rFonts w:hint="eastAsia" w:ascii="方正仿宋_GBK" w:hAnsi="宋体" w:eastAsia="方正仿宋_GBK" w:cs="Times New Roman"/>
          <w:b w:val="0"/>
          <w:kern w:val="2"/>
          <w:sz w:val="24"/>
          <w:szCs w:val="24"/>
          <w:lang w:val="en-US" w:eastAsia="zh-CN" w:bidi="ar-SA"/>
        </w:rPr>
        <w:t>本项目邀请内容为重庆轻工职业学院含谷校区食品工程学院、智能制造学院、药学与护理学院、大数据与信息学院实验（实训）室教学仪器设备从重庆轻工职业学院含谷校区至璧山校区的搬迁服务，涵盖所有搬迁教学仪器设备的拆卸、打包、搬运、运输、吊装、组装及后续清理验收工作。</w:t>
      </w:r>
    </w:p>
    <w:p w14:paraId="3E6EE6F0">
      <w:pPr>
        <w:pStyle w:val="4"/>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其中含谷校区食品工程学院搬迁楼层为1楼（无电梯），智能制造学院搬迁楼层为1-2楼（无电梯）、大数据与信息学院搬迁楼层为4楼（有电梯）、药学与护理学院搬迁楼层为6楼（有电梯）。</w:t>
      </w:r>
    </w:p>
    <w:p w14:paraId="454591BE">
      <w:pPr>
        <w:pStyle w:val="4"/>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璧山校区：食品工程学院教学仪器设备安装楼层为4楼（有电梯）、智能制造学院安装楼层为1—2楼有电梯，大数据与信息学院安装楼层为3楼有电梯，药学与护理学院搬迁楼层为5楼（有电梯）</w:t>
      </w:r>
    </w:p>
    <w:p w14:paraId="78B37FAB">
      <w:pPr>
        <w:pStyle w:val="4"/>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r>
        <w:rPr>
          <w:rFonts w:hint="eastAsia" w:ascii="方正仿宋_GBK" w:hAnsi="宋体" w:eastAsia="方正仿宋_GBK" w:cs="Times New Roman"/>
          <w:b w:val="0"/>
          <w:kern w:val="2"/>
          <w:sz w:val="24"/>
          <w:szCs w:val="24"/>
          <w:lang w:val="en-US" w:eastAsia="zh-CN" w:bidi="ar-SA"/>
        </w:rPr>
        <w:t>搬迁实验（实训室）教学仪器设备统计表（见附件2）。</w:t>
      </w:r>
    </w:p>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4"/>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ascii="方正仿宋_GBK" w:eastAsia="方正仿宋_GBK"/>
          <w:sz w:val="24"/>
          <w:szCs w:val="24"/>
          <w:lang w:val="en-US" w:eastAsia="zh-CN"/>
        </w:rPr>
      </w:pPr>
      <w:bookmarkStart w:id="9" w:name="_Toc25288"/>
      <w:r>
        <w:rPr>
          <w:rFonts w:hint="eastAsia" w:ascii="方正仿宋_GBK" w:eastAsia="方正仿宋_GBK"/>
          <w:sz w:val="24"/>
          <w:szCs w:val="24"/>
        </w:rPr>
        <w:t>三、</w:t>
      </w:r>
      <w:bookmarkEnd w:id="9"/>
      <w:r>
        <w:rPr>
          <w:rFonts w:hint="eastAsia" w:ascii="方正仿宋_GBK" w:eastAsia="方正仿宋_GBK"/>
          <w:sz w:val="24"/>
          <w:szCs w:val="24"/>
          <w:lang w:val="en-US" w:eastAsia="zh-CN"/>
        </w:rPr>
        <w:t>搬迁服务要求</w:t>
      </w:r>
    </w:p>
    <w:p w14:paraId="48C30F31">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（一）</w:t>
      </w:r>
      <w:r>
        <w:rPr>
          <w:rFonts w:hint="eastAsia" w:ascii="方正仿宋_GBK" w:hAnsi="宋体" w:eastAsia="方正仿宋_GBK"/>
          <w:b w:val="0"/>
          <w:bCs/>
          <w:sz w:val="24"/>
          <w:szCs w:val="24"/>
        </w:rPr>
        <w:t>服务人员要求</w:t>
      </w:r>
    </w:p>
    <w:p w14:paraId="3EFCDBCD">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1.1乙方为甲方提供搬迁服务的相关工作人员。乙方工作人员根据相应工作性质的要求，应具备相关工作资质资格；涉及电气、吊装等特种专业，还应具备相应作业许可资格。</w:t>
      </w:r>
    </w:p>
    <w:p w14:paraId="1F6CB125">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1.2乙方应在搬迁现场配备专职安全管理人员，及时检查并清除不安全因素。</w:t>
      </w:r>
    </w:p>
    <w:p w14:paraId="492F06CA">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1.3乙方应为所派遣的服务人员购买可足额覆盖相关人身损害、财产损失及工伤意外等的保险，否则由此造成甲方或第三人遭受损失的，乙方应当予以充分赔偿。</w:t>
      </w:r>
    </w:p>
    <w:p w14:paraId="328C6E48">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（二）搬迁准备要求</w:t>
      </w:r>
    </w:p>
    <w:p w14:paraId="162EA2B3">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提前勘查搬出及搬入场地、对应搬迁物品情况，确认搬入地址具备存放搬迁物品和进行相关作业的条件，注意水、电、气控制的操作安全问题，以及根据物资运输条件的要求配置相应的运输车辆、编制运输路线方案，并据此与甲方沟通后制定详细搬迁工作方案；经甲方审核确认后方可开展搬迁工作。</w:t>
      </w:r>
    </w:p>
    <w:p w14:paraId="505F554E">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2.乙方应按甲方要求提前做好相关服务人员、服务车辆等进校的报批报备工作，遵守甲方的管理规定。</w:t>
      </w:r>
    </w:p>
    <w:p w14:paraId="76673717">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（三）搬迁拆卸封装要求</w:t>
      </w:r>
    </w:p>
    <w:p w14:paraId="5CE35F51">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乙方应做好搬迁物品的拆卸、打包工作，如涉及搬迁物品中有甲方或甲方委托的第三方进行拆卸或者打包的，乙方应提前做好沟通对接工作。</w:t>
      </w:r>
    </w:p>
    <w:p w14:paraId="1815853E">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在拆卸封装前，乙方应当先行确认的如下事项：</w:t>
      </w:r>
    </w:p>
    <w:p w14:paraId="171C72BF">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（1）搬迁物品外观及结构检查；</w:t>
      </w:r>
    </w:p>
    <w:p w14:paraId="5178C030">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（2）搬迁物品数量及完整性检查；</w:t>
      </w:r>
    </w:p>
    <w:p w14:paraId="14B40566">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（3）进行物品测试，确认搬迁前设备状态；</w:t>
      </w:r>
    </w:p>
    <w:p w14:paraId="4A8A025B">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（4）进行通电检测，确认搬迁前设备状态。</w:t>
      </w:r>
    </w:p>
    <w:p w14:paraId="5FE5FF0E">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3.在拆卸封装过程中，乙方应注意：</w:t>
      </w:r>
    </w:p>
    <w:p w14:paraId="40E8F465">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（1）乙方拆卸出来的各部件及配件，需按要求进行必要的清理后马上做好保护，清点无缺漏后马上封装；</w:t>
      </w:r>
    </w:p>
    <w:p w14:paraId="21118B50">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（2）乙方应根据搬迁物品的类别，准备相关标签以提高搬迁安全性，如“液体、高精密仪器、玻璃器皿”等；</w:t>
      </w:r>
    </w:p>
    <w:p w14:paraId="72646F86">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（3）对于危险气体、易燃易爆和易制毒试剂、有特殊保温要求的试剂等，乙方须按专业要求做好特殊防护措施；</w:t>
      </w:r>
    </w:p>
    <w:p w14:paraId="523BDA02">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（4）涉及拆卸仪器设备的，乙方还应提前熟悉相关图纸及设备，禁止盲目操作。如因拆卸设备导致设备毁损的，乙方应当向甲方赔偿新设备或同等价位的设备。</w:t>
      </w:r>
    </w:p>
    <w:p w14:paraId="4BB5FDB6">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四</w:t>
      </w:r>
      <w:r>
        <w:rPr>
          <w:rFonts w:hint="eastAsia" w:ascii="方正仿宋_GBK" w:hAnsi="宋体" w:eastAsia="方正仿宋_GBK"/>
          <w:b w:val="0"/>
          <w:bCs/>
          <w:sz w:val="24"/>
          <w:szCs w:val="24"/>
        </w:rPr>
        <w:t>）搬迁运输要求</w:t>
      </w:r>
    </w:p>
    <w:p w14:paraId="528D434C">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乙方为甲方提供服务的相关设备、车辆等需具备安全合法使用的合格证明。</w:t>
      </w:r>
    </w:p>
    <w:p w14:paraId="7DDA9613">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乙方应提前检查并保证运输车辆的性能安全，提前熟悉运输路线的状况，保证行驶安全。</w:t>
      </w:r>
    </w:p>
    <w:p w14:paraId="591F0E07">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乙方应注意清点物资，并随车成册。</w:t>
      </w:r>
    </w:p>
    <w:p w14:paraId="5ABFBF2E">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4.在运输过程中，乙方应控制运输车速，在符合道路交通管理法律法规的前提下通过低速运输进一步保证对精密仪器设备及贵重物资的防震保护。</w:t>
      </w:r>
    </w:p>
    <w:p w14:paraId="417A9BCC">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五</w:t>
      </w:r>
      <w:r>
        <w:rPr>
          <w:rFonts w:hint="eastAsia" w:ascii="方正仿宋_GBK" w:hAnsi="宋体" w:eastAsia="方正仿宋_GBK"/>
          <w:b w:val="0"/>
          <w:bCs/>
          <w:sz w:val="24"/>
          <w:szCs w:val="24"/>
        </w:rPr>
        <w:t>）搬迁安全、文明作业要求</w:t>
      </w:r>
    </w:p>
    <w:p w14:paraId="525ECC0B">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乙方应严格注意搬迁过程涉及的人员、水电气安全问题，做好事前检查预防、过程监督检查、事后复查确认工作。</w:t>
      </w:r>
    </w:p>
    <w:p w14:paraId="4187D7C2">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乙方应严格注意保护搬迁物品尤其是大型贵重仪器设备，应根据设备情况采取防震、防磕碰、防压、防水、防潮、防腐蚀等保护措施，保证完好搬运。</w:t>
      </w:r>
    </w:p>
    <w:p w14:paraId="46C26124">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乙方应对工作人员做好安全、文明作业教育工作，工作人员应熟悉作业规程、安全要求，不得在搬运现场抽烟、喧哗、随意出入非搬运场地等。</w:t>
      </w:r>
    </w:p>
    <w:p w14:paraId="6615C954">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4</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乙方搬运过程应注意保护搬出地址和搬入地址的房屋及场地设施设备的完好。</w:t>
      </w:r>
    </w:p>
    <w:p w14:paraId="71CBE705">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5.乙方搬运过程应注意化学药品及气体安全问题，防止撒落流失及发生燃烧、爆炸、泄露等事故，避免造成污染和危险。</w:t>
      </w:r>
    </w:p>
    <w:p w14:paraId="298E3D62">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6</w:t>
      </w:r>
      <w:r>
        <w:rPr>
          <w:rFonts w:hint="eastAsia" w:ascii="方正仿宋_GBK" w:hAnsi="宋体" w:eastAsia="方正仿宋_GBK"/>
          <w:b w:val="0"/>
          <w:bCs/>
          <w:sz w:val="24"/>
          <w:szCs w:val="24"/>
        </w:rPr>
        <w:t>.乙方应制定有效的安全保障措施和应急处理预案。</w:t>
      </w:r>
    </w:p>
    <w:p w14:paraId="4398BF1A">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7</w:t>
      </w:r>
      <w:r>
        <w:rPr>
          <w:rFonts w:hint="eastAsia" w:ascii="方正仿宋_GBK" w:hAnsi="宋体" w:eastAsia="方正仿宋_GBK"/>
          <w:b w:val="0"/>
          <w:bCs/>
          <w:sz w:val="24"/>
          <w:szCs w:val="24"/>
        </w:rPr>
        <w:t>.所有作业工作应按甲方的计划执行，一切活动不得影响甲方的正常教学、科研活动。</w:t>
      </w:r>
    </w:p>
    <w:p w14:paraId="555C1898">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rPr>
        <w:t>）安装调试及状态确认。</w:t>
      </w:r>
    </w:p>
    <w:p w14:paraId="16D9628B">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w:t>
      </w:r>
      <w:r>
        <w:rPr>
          <w:rFonts w:hint="eastAsia" w:ascii="方正仿宋_GBK" w:hAnsi="宋体" w:eastAsia="方正仿宋_GBK"/>
          <w:b w:val="0"/>
          <w:bCs/>
          <w:sz w:val="24"/>
          <w:szCs w:val="24"/>
          <w:lang w:val="en-US" w:eastAsia="zh-CN"/>
        </w:rPr>
        <w:t>.</w:t>
      </w:r>
      <w:r>
        <w:rPr>
          <w:rFonts w:hint="eastAsia" w:ascii="方正仿宋_GBK" w:hAnsi="宋体" w:eastAsia="方正仿宋_GBK"/>
          <w:b w:val="0"/>
          <w:bCs/>
          <w:sz w:val="24"/>
          <w:szCs w:val="24"/>
        </w:rPr>
        <w:t>搬迁物品搬运至甲方指定地点后，乙方需在拆封后完成以下工作，并及时就物品搬迁后的状态向甲方进行报备：</w:t>
      </w:r>
    </w:p>
    <w:p w14:paraId="1E60F5FE">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（1）对物品规格及完整性进行检查；</w:t>
      </w:r>
    </w:p>
    <w:p w14:paraId="7B33650D">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（2）安排具有相应资质的工程师完成组装及调试；</w:t>
      </w:r>
    </w:p>
    <w:p w14:paraId="210B7090">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（3）安排具有相应资质的工程师进行通电检测。</w:t>
      </w:r>
    </w:p>
    <w:p w14:paraId="5E89BCF9">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七</w:t>
      </w:r>
      <w:r>
        <w:rPr>
          <w:rFonts w:hint="eastAsia" w:ascii="方正仿宋_GBK" w:hAnsi="宋体" w:eastAsia="方正仿宋_GBK"/>
          <w:b w:val="0"/>
          <w:bCs/>
          <w:sz w:val="24"/>
          <w:szCs w:val="24"/>
        </w:rPr>
        <w:t>）其他要求</w:t>
      </w:r>
    </w:p>
    <w:p w14:paraId="4720EB6C">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本条约定的搬迁服务要求，将作为甲方对乙方服务成果的验收比对依据。</w:t>
      </w:r>
    </w:p>
    <w:p w14:paraId="32DEBFD1">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w:t>
      </w:r>
      <w:r>
        <w:rPr>
          <w:rFonts w:hint="eastAsia" w:ascii="方正仿宋_GBK" w:hAnsi="宋体" w:eastAsia="方正仿宋_GBK"/>
          <w:b w:val="0"/>
          <w:bCs/>
          <w:sz w:val="24"/>
          <w:szCs w:val="24"/>
          <w:lang w:val="en-US" w:eastAsia="zh-CN"/>
        </w:rPr>
        <w:t>八</w:t>
      </w:r>
      <w:r>
        <w:rPr>
          <w:rFonts w:hint="eastAsia" w:ascii="方正仿宋_GBK" w:hAnsi="宋体" w:eastAsia="方正仿宋_GBK"/>
          <w:b w:val="0"/>
          <w:bCs/>
          <w:sz w:val="24"/>
          <w:szCs w:val="24"/>
        </w:rPr>
        <w:t>）验收标准</w:t>
      </w:r>
    </w:p>
    <w:p w14:paraId="5F0305C9">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1</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乙方应当按甲方的期限完成搬迁工作。</w:t>
      </w:r>
    </w:p>
    <w:p w14:paraId="77AE12DA">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2</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乙方应确保搬迁物品数量、运行状态和发运前一致，并按甲方要求搬入或安装至相应房间，搬迁物品无缺漏或破损，仪器配件齐全。</w:t>
      </w:r>
    </w:p>
    <w:p w14:paraId="72AE3EE5">
      <w:pPr>
        <w:pStyle w:val="4"/>
        <w:keepLines w:val="0"/>
        <w:pageBreakBefore w:val="0"/>
        <w:widowControl w:val="0"/>
        <w:kinsoku/>
        <w:wordWrap/>
        <w:overflowPunct/>
        <w:topLinePunct w:val="0"/>
        <w:autoSpaceDE/>
        <w:autoSpaceDN/>
        <w:bidi w:val="0"/>
        <w:adjustRightInd/>
        <w:snapToGrid/>
        <w:spacing w:before="0" w:after="0" w:line="400" w:lineRule="exact"/>
        <w:ind w:firstLine="481"/>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3</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乙方应在验收前提供书面验收材料，具体以甲方提供的验收清单为准。</w:t>
      </w:r>
    </w:p>
    <w:p w14:paraId="3FE86A46">
      <w:pPr>
        <w:pStyle w:val="4"/>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w:t>
      </w:r>
      <w:r>
        <w:rPr>
          <w:rFonts w:hint="eastAsia" w:ascii="方正仿宋_GBK" w:eastAsia="方正仿宋_GBK"/>
          <w:sz w:val="24"/>
          <w:szCs w:val="24"/>
        </w:rPr>
        <w:t>搬迁时间和距离</w:t>
      </w:r>
    </w:p>
    <w:p w14:paraId="0CAD67EB">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重庆轻工职业学院含谷校区—璧山校区距离约29公里。</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搬迁时间：本项目暂定于9月上旬进场，2025年9月20日前完成。</w:t>
      </w:r>
      <w:r>
        <w:rPr>
          <w:rFonts w:hint="eastAsia" w:ascii="方正仿宋_GBK" w:hAnsi="宋体" w:eastAsia="方正仿宋_GBK"/>
          <w:sz w:val="24"/>
          <w:szCs w:val="24"/>
        </w:rPr>
        <w:t>如中标人投标函中填报工期未超过本招标文件要求的工期，则以中标人投标函中填报的工期为合同工期。因招标人原因使中标人不能按时交付，工期顺延。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rPr>
      </w:pPr>
      <w:r>
        <w:rPr>
          <w:rFonts w:hint="eastAsia" w:ascii="方正仿宋_GBK" w:eastAsia="方正仿宋_GBK"/>
          <w:sz w:val="24"/>
          <w:szCs w:val="24"/>
        </w:rPr>
        <w:t>现场查看</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招标人不组织现场查看，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4497D1F5">
      <w:pPr>
        <w:pStyle w:val="4"/>
        <w:numPr>
          <w:ilvl w:val="0"/>
          <w:numId w:val="14"/>
        </w:numPr>
        <w:spacing w:before="0" w:after="0" w:line="400" w:lineRule="exact"/>
        <w:rPr>
          <w:rFonts w:hint="eastAsia" w:ascii="方正仿宋_GBK" w:eastAsia="方正仿宋_GBK"/>
          <w:sz w:val="24"/>
          <w:szCs w:val="24"/>
        </w:rPr>
      </w:pPr>
      <w:bookmarkStart w:id="10" w:name="_Toc3884"/>
      <w:r>
        <w:rPr>
          <w:rFonts w:hint="eastAsia" w:ascii="方正仿宋_GBK" w:eastAsia="方正仿宋_GBK"/>
          <w:sz w:val="24"/>
          <w:szCs w:val="24"/>
        </w:rPr>
        <w:t xml:space="preserve">投标报价 </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 “</w:t>
      </w:r>
      <w:r>
        <w:rPr>
          <w:rFonts w:hint="eastAsia" w:ascii="方正仿宋_GBK" w:hAnsi="宋体" w:eastAsia="方正仿宋_GBK"/>
          <w:sz w:val="24"/>
          <w:szCs w:val="24"/>
          <w:lang w:eastAsia="zh-CN"/>
        </w:rPr>
        <w:t>附件2.实验（实训室）教学仪器设备搬迁汇总统计表</w:t>
      </w:r>
      <w:r>
        <w:rPr>
          <w:rFonts w:hint="eastAsia" w:ascii="方正仿宋_GBK" w:hAnsi="宋体" w:eastAsia="方正仿宋_GBK"/>
          <w:sz w:val="24"/>
          <w:szCs w:val="24"/>
        </w:rPr>
        <w:t>”</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w:t>
      </w:r>
      <w:r>
        <w:rPr>
          <w:rFonts w:hint="eastAsia" w:ascii="方正仿宋_GBK" w:hAnsi="宋体" w:eastAsia="方正仿宋_GBK"/>
          <w:sz w:val="24"/>
          <w:szCs w:val="24"/>
          <w:lang w:val="en-US" w:eastAsia="zh-CN"/>
        </w:rPr>
        <w:t>总价</w:t>
      </w:r>
      <w:r>
        <w:rPr>
          <w:rFonts w:hint="eastAsia" w:ascii="方正仿宋_GBK" w:hAnsi="宋体" w:eastAsia="方正仿宋_GBK"/>
          <w:sz w:val="24"/>
          <w:szCs w:val="24"/>
        </w:rPr>
        <w:t>填报，综合包干</w:t>
      </w:r>
      <w:r>
        <w:rPr>
          <w:rFonts w:hint="eastAsia" w:ascii="方正仿宋_GBK" w:hAnsi="宋体" w:eastAsia="方正仿宋_GBK"/>
          <w:sz w:val="24"/>
          <w:szCs w:val="24"/>
          <w:lang w:val="en-US" w:eastAsia="zh-CN"/>
        </w:rPr>
        <w:t>总价</w:t>
      </w:r>
      <w:r>
        <w:rPr>
          <w:rFonts w:hint="eastAsia" w:ascii="方正仿宋_GBK" w:hAnsi="宋体" w:eastAsia="方正仿宋_GBK"/>
          <w:sz w:val="24"/>
          <w:szCs w:val="24"/>
        </w:rPr>
        <w:t>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495B18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（四）本招标文件及所附的数量为暂定，招标人可根据需要和现场情况调整，但不因数量的调整而调整合同确定的包干</w:t>
      </w:r>
      <w:r>
        <w:rPr>
          <w:rFonts w:hint="eastAsia" w:ascii="方正仿宋_GBK" w:hAnsi="宋体" w:eastAsia="方正仿宋_GBK"/>
          <w:sz w:val="24"/>
          <w:szCs w:val="24"/>
          <w:lang w:val="en-US" w:eastAsia="zh-CN"/>
        </w:rPr>
        <w:t>总价</w:t>
      </w:r>
      <w:r>
        <w:rPr>
          <w:rFonts w:hint="eastAsia" w:ascii="方正仿宋_GBK" w:hAnsi="宋体" w:eastAsia="方正仿宋_GBK"/>
          <w:sz w:val="24"/>
          <w:szCs w:val="24"/>
        </w:rPr>
        <w:t>，投标人应均衡报价。</w:t>
      </w:r>
    </w:p>
    <w:p w14:paraId="0C3F1625">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2"/>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 xml:space="preserve">    全部</w:t>
      </w:r>
      <w:r>
        <w:rPr>
          <w:rFonts w:hint="eastAsia" w:ascii="方正仿宋_GBK" w:hAnsi="宋体" w:eastAsia="方正仿宋_GBK"/>
          <w:sz w:val="24"/>
          <w:szCs w:val="24"/>
          <w:lang w:val="en-US" w:eastAsia="zh-CN"/>
        </w:rPr>
        <w:t>搬迁服务</w:t>
      </w:r>
      <w:r>
        <w:rPr>
          <w:rFonts w:hint="eastAsia" w:ascii="方正仿宋_GBK" w:hAnsi="宋体" w:eastAsia="方正仿宋_GBK"/>
          <w:sz w:val="24"/>
          <w:szCs w:val="24"/>
        </w:rPr>
        <w:t>经招标人验收合格并交付给招标人后方可办理结算。</w:t>
      </w: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w:t>
      </w:r>
      <w:r>
        <w:rPr>
          <w:rFonts w:hint="eastAsia" w:ascii="方正仿宋_GBK" w:hAnsi="宋体" w:eastAsia="方正仿宋_GBK"/>
          <w:sz w:val="24"/>
          <w:szCs w:val="24"/>
          <w:lang w:val="en-US" w:eastAsia="zh-CN"/>
        </w:rPr>
        <w:t>设备搬迁完成，</w:t>
      </w:r>
      <w:r>
        <w:rPr>
          <w:rFonts w:hint="eastAsia" w:ascii="方正仿宋_GBK" w:hAnsi="宋体" w:eastAsia="方正仿宋_GBK"/>
          <w:sz w:val="24"/>
          <w:szCs w:val="24"/>
        </w:rPr>
        <w:t>验收合格、双方确认</w:t>
      </w:r>
      <w:r>
        <w:rPr>
          <w:rFonts w:hint="eastAsia" w:ascii="方正仿宋_GBK" w:hAnsi="宋体" w:eastAsia="方正仿宋_GBK"/>
          <w:sz w:val="24"/>
          <w:szCs w:val="24"/>
          <w:lang w:val="en-US" w:eastAsia="zh-CN"/>
        </w:rPr>
        <w:t>设备无损坏</w:t>
      </w:r>
      <w:r>
        <w:rPr>
          <w:rFonts w:hint="eastAsia" w:ascii="方正仿宋_GBK" w:hAnsi="宋体" w:eastAsia="方正仿宋_GBK"/>
          <w:sz w:val="24"/>
          <w:szCs w:val="24"/>
        </w:rPr>
        <w:t>后15日内，支付结算总额的</w:t>
      </w:r>
      <w:r>
        <w:rPr>
          <w:rFonts w:hint="eastAsia" w:ascii="方正仿宋_GBK" w:hAnsi="宋体" w:eastAsia="方正仿宋_GBK"/>
          <w:sz w:val="24"/>
          <w:szCs w:val="24"/>
          <w:lang w:val="en-US" w:eastAsia="zh-CN"/>
        </w:rPr>
        <w:t>100</w:t>
      </w:r>
      <w:r>
        <w:rPr>
          <w:rFonts w:hint="eastAsia" w:ascii="方正仿宋_GBK" w:hAnsi="宋体" w:eastAsia="方正仿宋_GBK"/>
          <w:sz w:val="24"/>
          <w:szCs w:val="24"/>
        </w:rPr>
        <w:t>%。</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0"/>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7AD8DA6C">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文件时向重庆轻工职业学院缴纳</w:t>
      </w:r>
      <w:r>
        <w:rPr>
          <w:rFonts w:hint="eastAsia" w:ascii="方正仿宋_GBK" w:hAnsi="宋体" w:eastAsia="方正仿宋_GBK"/>
          <w:sz w:val="24"/>
          <w:szCs w:val="24"/>
          <w:lang w:eastAsia="zh-CN"/>
        </w:rPr>
        <w:t>，如需开具发票，请在转账后将付款回单及开票信息发送到1911416048@qq.com。</w:t>
      </w:r>
      <w:r>
        <w:rPr>
          <w:rFonts w:hint="eastAsia" w:ascii="方正仿宋_GBK" w:hAnsi="宋体" w:eastAsia="方正仿宋_GBK"/>
          <w:sz w:val="24"/>
          <w:szCs w:val="24"/>
        </w:rPr>
        <w:t>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（三）供应商须满足以下要件，其响应文件才被接受：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（四）响应文件递交地点：重庆轻工职业学院财务与资产管理处</w:t>
      </w:r>
    </w:p>
    <w:p w14:paraId="004D77E3">
      <w:pPr>
        <w:snapToGrid w:val="0"/>
        <w:spacing w:line="400" w:lineRule="exact"/>
        <w:ind w:firstLine="1080" w:firstLineChars="450"/>
        <w:rPr>
          <w:rFonts w:hint="eastAsia" w:ascii="方正仿宋_GBK" w:hAnsi="宋体" w:eastAsia="方正仿宋_GBK"/>
          <w:sz w:val="24"/>
          <w:szCs w:val="24"/>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21</w:t>
      </w:r>
      <w:r>
        <w:rPr>
          <w:rFonts w:hint="eastAsia" w:ascii="方正仿宋_GBK" w:hAnsi="宋体" w:eastAsia="方正仿宋_GBK"/>
          <w:sz w:val="24"/>
          <w:szCs w:val="24"/>
        </w:rPr>
        <w:t>日上午10：</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0-11:</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w:t>
      </w:r>
      <w:r>
        <w:rPr>
          <w:rFonts w:hint="eastAsia" w:ascii="方正仿宋_GBK" w:hAnsi="宋体" w:eastAsia="方正仿宋_GBK"/>
          <w:b/>
          <w:sz w:val="24"/>
          <w:szCs w:val="24"/>
          <w:lang w:val="en-US" w:eastAsia="zh-CN"/>
        </w:rPr>
        <w:t>设备搬迁项目投标保证金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7D3ABCB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1" w:name="_Toc29339"/>
      <w:bookmarkStart w:id="12" w:name="_Toc480466699"/>
      <w:r>
        <w:rPr>
          <w:rFonts w:hint="eastAsia" w:ascii="方正仿宋_GBK" w:eastAsia="方正仿宋_GBK"/>
          <w:sz w:val="24"/>
          <w:szCs w:val="24"/>
        </w:rPr>
        <w:t>其它有关规定</w:t>
      </w:r>
      <w:bookmarkEnd w:id="11"/>
      <w:bookmarkEnd w:id="12"/>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3" w:name="_Toc14462"/>
      <w:bookmarkStart w:id="14" w:name="_Toc480466700"/>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78FC239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462D7C5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7FE86B0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7E1CD5D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051C93B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6201FFC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3"/>
      <w:bookmarkEnd w:id="14"/>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联 系 人： </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 xml:space="preserve">电    话： </w:t>
      </w:r>
      <w:r>
        <w:rPr>
          <w:rFonts w:hint="eastAsia" w:ascii="方正仿宋_GBK" w:hAnsi="宋体" w:eastAsia="方正仿宋_GBK"/>
          <w:sz w:val="24"/>
          <w:szCs w:val="24"/>
          <w:lang w:val="en-US" w:eastAsia="zh-CN"/>
        </w:rPr>
        <w:t>18302338493</w:t>
      </w:r>
    </w:p>
    <w:p w14:paraId="1320321C">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 陈老师（项目咨询）</w:t>
      </w:r>
    </w:p>
    <w:p w14:paraId="012465D8">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 xml:space="preserve">电    话： </w:t>
      </w:r>
      <w:r>
        <w:rPr>
          <w:rFonts w:hint="eastAsia" w:ascii="方正仿宋_GBK" w:hAnsi="宋体" w:eastAsia="方正仿宋_GBK"/>
          <w:sz w:val="24"/>
          <w:szCs w:val="24"/>
          <w:lang w:val="en-US" w:eastAsia="zh-CN"/>
        </w:rPr>
        <w:t>15023111152</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 重庆市高新区宝洪路4号附88号</w:t>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      元整；人民币小写：    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10000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lang w:eastAsia="zh-CN"/>
        </w:rPr>
        <w:t>万元整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B179714">
      <w:pPr>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13"/>
        <w:gridCol w:w="1125"/>
        <w:gridCol w:w="712"/>
        <w:gridCol w:w="1450"/>
        <w:gridCol w:w="1225"/>
        <w:gridCol w:w="1250"/>
        <w:gridCol w:w="1375"/>
      </w:tblGrid>
      <w:tr w14:paraId="1F0B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95" w:type="dxa"/>
            <w:shd w:val="clear" w:color="auto" w:fill="auto"/>
            <w:noWrap w:val="0"/>
            <w:vAlign w:val="center"/>
          </w:tcPr>
          <w:p w14:paraId="773DF041">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kern w:val="0"/>
                <w:sz w:val="21"/>
                <w:szCs w:val="21"/>
              </w:rPr>
              <w:t>序号</w:t>
            </w:r>
          </w:p>
        </w:tc>
        <w:tc>
          <w:tcPr>
            <w:tcW w:w="1713" w:type="dxa"/>
            <w:shd w:val="clear" w:color="auto" w:fill="auto"/>
            <w:noWrap w:val="0"/>
            <w:vAlign w:val="center"/>
          </w:tcPr>
          <w:p w14:paraId="4D316C42">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sz w:val="21"/>
                <w:szCs w:val="21"/>
                <w:lang w:val="en-US" w:eastAsia="zh-CN"/>
              </w:rPr>
              <w:t>名称</w:t>
            </w:r>
          </w:p>
        </w:tc>
        <w:tc>
          <w:tcPr>
            <w:tcW w:w="1125" w:type="dxa"/>
            <w:shd w:val="clear" w:color="auto" w:fill="auto"/>
            <w:noWrap w:val="0"/>
            <w:vAlign w:val="center"/>
          </w:tcPr>
          <w:p w14:paraId="5A45C5E8">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kern w:val="0"/>
                <w:sz w:val="21"/>
                <w:szCs w:val="21"/>
              </w:rPr>
              <w:t>数量</w:t>
            </w:r>
          </w:p>
        </w:tc>
        <w:tc>
          <w:tcPr>
            <w:tcW w:w="712" w:type="dxa"/>
            <w:shd w:val="clear" w:color="auto" w:fill="auto"/>
            <w:noWrap w:val="0"/>
            <w:vAlign w:val="center"/>
          </w:tcPr>
          <w:p w14:paraId="75A837AA">
            <w:pPr>
              <w:widowControl/>
              <w:jc w:val="center"/>
              <w:textAlignment w:val="center"/>
              <w:rPr>
                <w:rFonts w:hint="eastAsia" w:ascii="方正仿宋_GBK" w:hAnsi="方正仿宋_GBK" w:eastAsia="方正仿宋_GBK" w:cs="方正仿宋_GBK"/>
                <w:b/>
                <w:color w:val="000000"/>
                <w:kern w:val="2"/>
                <w:sz w:val="21"/>
                <w:szCs w:val="21"/>
                <w:lang w:val="en-US" w:eastAsia="zh-CN" w:bidi="ar-SA"/>
              </w:rPr>
            </w:pPr>
            <w:r>
              <w:rPr>
                <w:rFonts w:hint="eastAsia" w:ascii="方正仿宋_GBK" w:hAnsi="方正仿宋_GBK" w:eastAsia="方正仿宋_GBK" w:cs="方正仿宋_GBK"/>
                <w:b/>
                <w:color w:val="000000"/>
                <w:kern w:val="0"/>
                <w:sz w:val="21"/>
                <w:szCs w:val="21"/>
              </w:rPr>
              <w:t>单位</w:t>
            </w:r>
          </w:p>
        </w:tc>
        <w:tc>
          <w:tcPr>
            <w:tcW w:w="1450" w:type="dxa"/>
            <w:noWrap w:val="0"/>
            <w:vAlign w:val="center"/>
          </w:tcPr>
          <w:p w14:paraId="0C0FDB53">
            <w:pPr>
              <w:widowControl/>
              <w:jc w:val="center"/>
              <w:textAlignment w:val="center"/>
              <w:rPr>
                <w:rFonts w:hint="eastAsia" w:ascii="方正仿宋_GBK" w:hAnsi="方正仿宋_GBK" w:eastAsia="方正仿宋_GBK" w:cs="方正仿宋_GBK"/>
                <w:b/>
                <w:color w:val="000000"/>
                <w:kern w:val="0"/>
                <w:sz w:val="21"/>
                <w:szCs w:val="21"/>
                <w:lang w:val="en-US" w:eastAsia="zh-CN"/>
              </w:rPr>
            </w:pPr>
            <w:r>
              <w:rPr>
                <w:rFonts w:hint="eastAsia" w:ascii="方正仿宋_GBK" w:hAnsi="方正仿宋_GBK" w:eastAsia="方正仿宋_GBK" w:cs="方正仿宋_GBK"/>
                <w:b/>
                <w:color w:val="000000"/>
                <w:kern w:val="0"/>
                <w:sz w:val="21"/>
                <w:szCs w:val="21"/>
                <w:lang w:val="en-US" w:eastAsia="zh-CN"/>
              </w:rPr>
              <w:t>…</w:t>
            </w:r>
          </w:p>
        </w:tc>
        <w:tc>
          <w:tcPr>
            <w:tcW w:w="1225" w:type="dxa"/>
            <w:shd w:val="clear" w:color="auto" w:fill="auto"/>
            <w:noWrap w:val="0"/>
            <w:vAlign w:val="center"/>
          </w:tcPr>
          <w:p w14:paraId="0A0328F3">
            <w:pPr>
              <w:widowControl/>
              <w:jc w:val="center"/>
              <w:textAlignment w:val="center"/>
              <w:rPr>
                <w:rFonts w:hint="eastAsia" w:ascii="方正仿宋_GBK" w:hAnsi="方正仿宋_GBK" w:eastAsia="方正仿宋_GBK" w:cs="方正仿宋_GBK"/>
                <w:b/>
                <w:color w:val="000000"/>
                <w:kern w:val="0"/>
                <w:sz w:val="21"/>
                <w:szCs w:val="21"/>
                <w:lang w:val="en-US" w:eastAsia="zh-CN" w:bidi="ar-SA"/>
              </w:rPr>
            </w:pPr>
            <w:r>
              <w:rPr>
                <w:rFonts w:hint="eastAsia" w:ascii="方正仿宋_GBK" w:hAnsi="方正仿宋_GBK" w:eastAsia="方正仿宋_GBK" w:cs="方正仿宋_GBK"/>
                <w:b/>
                <w:color w:val="000000"/>
                <w:kern w:val="0"/>
                <w:sz w:val="21"/>
                <w:szCs w:val="21"/>
                <w:lang w:val="en-US" w:eastAsia="zh-CN"/>
              </w:rPr>
              <w:t>单价</w:t>
            </w:r>
          </w:p>
        </w:tc>
        <w:tc>
          <w:tcPr>
            <w:tcW w:w="1250" w:type="dxa"/>
            <w:shd w:val="clear" w:color="auto" w:fill="auto"/>
            <w:noWrap w:val="0"/>
            <w:vAlign w:val="center"/>
          </w:tcPr>
          <w:p w14:paraId="2D15B2B1">
            <w:pPr>
              <w:widowControl/>
              <w:jc w:val="center"/>
              <w:textAlignment w:val="center"/>
              <w:rPr>
                <w:rFonts w:hint="eastAsia" w:ascii="方正仿宋_GBK" w:hAnsi="方正仿宋_GBK" w:eastAsia="方正仿宋_GBK" w:cs="方正仿宋_GBK"/>
                <w:b/>
                <w:color w:val="000000"/>
                <w:kern w:val="0"/>
                <w:sz w:val="21"/>
                <w:szCs w:val="21"/>
                <w:lang w:val="en-US" w:eastAsia="zh-CN" w:bidi="ar-SA"/>
              </w:rPr>
            </w:pPr>
            <w:r>
              <w:rPr>
                <w:rFonts w:hint="eastAsia" w:ascii="方正仿宋_GBK" w:hAnsi="方正仿宋_GBK" w:eastAsia="方正仿宋_GBK" w:cs="方正仿宋_GBK"/>
                <w:b/>
                <w:color w:val="000000"/>
                <w:kern w:val="0"/>
                <w:sz w:val="21"/>
                <w:szCs w:val="21"/>
                <w:lang w:val="en-US" w:eastAsia="zh-CN"/>
              </w:rPr>
              <w:t>总价</w:t>
            </w:r>
          </w:p>
        </w:tc>
        <w:tc>
          <w:tcPr>
            <w:tcW w:w="1375" w:type="dxa"/>
            <w:shd w:val="clear" w:color="auto" w:fill="auto"/>
            <w:noWrap w:val="0"/>
            <w:vAlign w:val="center"/>
          </w:tcPr>
          <w:p w14:paraId="3BBCFE3B">
            <w:pPr>
              <w:widowControl/>
              <w:jc w:val="center"/>
              <w:textAlignment w:val="center"/>
              <w:rPr>
                <w:rFonts w:hint="eastAsia" w:ascii="方正仿宋_GBK" w:hAnsi="方正仿宋_GBK" w:eastAsia="方正仿宋_GBK" w:cs="方正仿宋_GBK"/>
                <w:b/>
                <w:color w:val="000000"/>
                <w:kern w:val="0"/>
                <w:sz w:val="21"/>
                <w:szCs w:val="21"/>
                <w:lang w:val="en-US" w:eastAsia="zh-CN" w:bidi="ar-SA"/>
              </w:rPr>
            </w:pPr>
            <w:r>
              <w:rPr>
                <w:rFonts w:hint="eastAsia" w:ascii="方正仿宋_GBK" w:hAnsi="方正仿宋_GBK" w:eastAsia="方正仿宋_GBK" w:cs="方正仿宋_GBK"/>
                <w:b/>
                <w:color w:val="000000"/>
                <w:kern w:val="0"/>
                <w:sz w:val="21"/>
                <w:szCs w:val="21"/>
                <w:lang w:val="en-US" w:eastAsia="zh-CN"/>
              </w:rPr>
              <w:t>备注</w:t>
            </w:r>
          </w:p>
        </w:tc>
      </w:tr>
      <w:tr w14:paraId="3A68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95" w:type="dxa"/>
            <w:tcBorders>
              <w:bottom w:val="single" w:color="auto" w:sz="4" w:space="0"/>
            </w:tcBorders>
            <w:shd w:val="clear" w:color="auto" w:fill="auto"/>
            <w:noWrap w:val="0"/>
            <w:vAlign w:val="center"/>
          </w:tcPr>
          <w:p w14:paraId="6123BFAF">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1</w:t>
            </w:r>
          </w:p>
        </w:tc>
        <w:tc>
          <w:tcPr>
            <w:tcW w:w="1713" w:type="dxa"/>
            <w:tcBorders>
              <w:bottom w:val="single" w:color="auto" w:sz="4" w:space="0"/>
            </w:tcBorders>
            <w:shd w:val="clear" w:color="auto" w:fill="auto"/>
            <w:noWrap w:val="0"/>
            <w:vAlign w:val="center"/>
          </w:tcPr>
          <w:p w14:paraId="38114E40">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tcBorders>
              <w:bottom w:val="single" w:color="auto" w:sz="4" w:space="0"/>
            </w:tcBorders>
            <w:shd w:val="clear" w:color="auto" w:fill="auto"/>
            <w:noWrap w:val="0"/>
            <w:vAlign w:val="center"/>
          </w:tcPr>
          <w:p w14:paraId="33B3DD3D">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tcBorders>
              <w:bottom w:val="single" w:color="auto" w:sz="4" w:space="0"/>
            </w:tcBorders>
            <w:shd w:val="clear" w:color="auto" w:fill="auto"/>
            <w:noWrap w:val="0"/>
            <w:vAlign w:val="center"/>
          </w:tcPr>
          <w:p w14:paraId="1A1EBE6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tcBorders>
              <w:bottom w:val="single" w:color="auto" w:sz="4" w:space="0"/>
            </w:tcBorders>
            <w:noWrap w:val="0"/>
            <w:vAlign w:val="center"/>
          </w:tcPr>
          <w:p w14:paraId="3D6B8930">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tcBorders>
              <w:bottom w:val="single" w:color="auto" w:sz="4" w:space="0"/>
            </w:tcBorders>
            <w:noWrap w:val="0"/>
            <w:vAlign w:val="center"/>
          </w:tcPr>
          <w:p w14:paraId="16AFDABB">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tcBorders>
              <w:bottom w:val="single" w:color="auto" w:sz="4" w:space="0"/>
            </w:tcBorders>
            <w:noWrap w:val="0"/>
            <w:vAlign w:val="center"/>
          </w:tcPr>
          <w:p w14:paraId="4652FDCE">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tcBorders>
              <w:bottom w:val="single" w:color="auto" w:sz="4" w:space="0"/>
            </w:tcBorders>
            <w:noWrap w:val="0"/>
            <w:vAlign w:val="center"/>
          </w:tcPr>
          <w:p w14:paraId="7A5C3584">
            <w:pPr>
              <w:widowControl/>
              <w:jc w:val="center"/>
              <w:textAlignment w:val="center"/>
              <w:rPr>
                <w:rFonts w:hint="eastAsia" w:ascii="方正仿宋_GBK" w:hAnsi="方正仿宋_GBK" w:eastAsia="方正仿宋_GBK" w:cs="方正仿宋_GBK"/>
                <w:b/>
                <w:color w:val="000000"/>
                <w:kern w:val="0"/>
                <w:sz w:val="21"/>
                <w:szCs w:val="21"/>
              </w:rPr>
            </w:pPr>
          </w:p>
        </w:tc>
      </w:tr>
      <w:tr w14:paraId="7334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5" w:type="dxa"/>
            <w:shd w:val="clear" w:color="auto" w:fill="auto"/>
            <w:noWrap w:val="0"/>
            <w:vAlign w:val="center"/>
          </w:tcPr>
          <w:p w14:paraId="764440B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2</w:t>
            </w:r>
          </w:p>
        </w:tc>
        <w:tc>
          <w:tcPr>
            <w:tcW w:w="1713" w:type="dxa"/>
            <w:shd w:val="clear" w:color="auto" w:fill="auto"/>
            <w:noWrap w:val="0"/>
            <w:vAlign w:val="center"/>
          </w:tcPr>
          <w:p w14:paraId="34783657">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shd w:val="clear" w:color="auto" w:fill="auto"/>
            <w:noWrap w:val="0"/>
            <w:vAlign w:val="center"/>
          </w:tcPr>
          <w:p w14:paraId="117BF8EF">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shd w:val="clear" w:color="auto" w:fill="auto"/>
            <w:noWrap w:val="0"/>
            <w:vAlign w:val="center"/>
          </w:tcPr>
          <w:p w14:paraId="728DBBE5">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noWrap w:val="0"/>
            <w:vAlign w:val="center"/>
          </w:tcPr>
          <w:p w14:paraId="3555C815">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noWrap w:val="0"/>
            <w:vAlign w:val="center"/>
          </w:tcPr>
          <w:p w14:paraId="472CEEB5">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noWrap w:val="0"/>
            <w:vAlign w:val="center"/>
          </w:tcPr>
          <w:p w14:paraId="00B6D9E5">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noWrap w:val="0"/>
            <w:vAlign w:val="center"/>
          </w:tcPr>
          <w:p w14:paraId="6A055A4A">
            <w:pPr>
              <w:widowControl/>
              <w:jc w:val="center"/>
              <w:textAlignment w:val="center"/>
              <w:rPr>
                <w:rFonts w:hint="eastAsia" w:ascii="方正仿宋_GBK" w:hAnsi="方正仿宋_GBK" w:eastAsia="方正仿宋_GBK" w:cs="方正仿宋_GBK"/>
                <w:b/>
                <w:color w:val="000000"/>
                <w:kern w:val="0"/>
                <w:sz w:val="21"/>
                <w:szCs w:val="21"/>
              </w:rPr>
            </w:pPr>
          </w:p>
        </w:tc>
      </w:tr>
      <w:tr w14:paraId="06A4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5" w:type="dxa"/>
            <w:shd w:val="clear" w:color="auto" w:fill="auto"/>
            <w:noWrap w:val="0"/>
            <w:vAlign w:val="center"/>
          </w:tcPr>
          <w:p w14:paraId="04B8E5D1">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3</w:t>
            </w:r>
          </w:p>
        </w:tc>
        <w:tc>
          <w:tcPr>
            <w:tcW w:w="1713" w:type="dxa"/>
            <w:shd w:val="clear" w:color="auto" w:fill="auto"/>
            <w:noWrap w:val="0"/>
            <w:vAlign w:val="center"/>
          </w:tcPr>
          <w:p w14:paraId="7808646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shd w:val="clear" w:color="auto" w:fill="auto"/>
            <w:noWrap w:val="0"/>
            <w:vAlign w:val="center"/>
          </w:tcPr>
          <w:p w14:paraId="524FA80C">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shd w:val="clear" w:color="auto" w:fill="auto"/>
            <w:noWrap w:val="0"/>
            <w:vAlign w:val="center"/>
          </w:tcPr>
          <w:p w14:paraId="14584BF6">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noWrap w:val="0"/>
            <w:vAlign w:val="center"/>
          </w:tcPr>
          <w:p w14:paraId="7DA60A4B">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noWrap w:val="0"/>
            <w:vAlign w:val="center"/>
          </w:tcPr>
          <w:p w14:paraId="4784467B">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noWrap w:val="0"/>
            <w:vAlign w:val="center"/>
          </w:tcPr>
          <w:p w14:paraId="08B62651">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noWrap w:val="0"/>
            <w:vAlign w:val="center"/>
          </w:tcPr>
          <w:p w14:paraId="396053BB">
            <w:pPr>
              <w:widowControl/>
              <w:jc w:val="center"/>
              <w:textAlignment w:val="center"/>
              <w:rPr>
                <w:rFonts w:hint="eastAsia" w:ascii="方正仿宋_GBK" w:hAnsi="方正仿宋_GBK" w:eastAsia="方正仿宋_GBK" w:cs="方正仿宋_GBK"/>
                <w:b/>
                <w:color w:val="000000"/>
                <w:kern w:val="0"/>
                <w:sz w:val="21"/>
                <w:szCs w:val="21"/>
              </w:rPr>
            </w:pPr>
          </w:p>
        </w:tc>
      </w:tr>
      <w:tr w14:paraId="24E5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95" w:type="dxa"/>
            <w:tcBorders>
              <w:bottom w:val="single" w:color="auto" w:sz="4" w:space="0"/>
            </w:tcBorders>
            <w:shd w:val="clear" w:color="auto" w:fill="auto"/>
            <w:noWrap w:val="0"/>
            <w:vAlign w:val="center"/>
          </w:tcPr>
          <w:p w14:paraId="79334A7E">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rPr>
              <w:t>4</w:t>
            </w:r>
          </w:p>
        </w:tc>
        <w:tc>
          <w:tcPr>
            <w:tcW w:w="1713" w:type="dxa"/>
            <w:tcBorders>
              <w:bottom w:val="single" w:color="auto" w:sz="4" w:space="0"/>
            </w:tcBorders>
            <w:shd w:val="clear" w:color="auto" w:fill="auto"/>
            <w:noWrap w:val="0"/>
            <w:vAlign w:val="center"/>
          </w:tcPr>
          <w:p w14:paraId="191B3C88">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125" w:type="dxa"/>
            <w:tcBorders>
              <w:bottom w:val="single" w:color="auto" w:sz="4" w:space="0"/>
            </w:tcBorders>
            <w:shd w:val="clear" w:color="auto" w:fill="auto"/>
            <w:noWrap w:val="0"/>
            <w:vAlign w:val="center"/>
          </w:tcPr>
          <w:p w14:paraId="5B3D03C2">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712" w:type="dxa"/>
            <w:tcBorders>
              <w:bottom w:val="single" w:color="auto" w:sz="4" w:space="0"/>
            </w:tcBorders>
            <w:shd w:val="clear" w:color="auto" w:fill="auto"/>
            <w:noWrap w:val="0"/>
            <w:vAlign w:val="center"/>
          </w:tcPr>
          <w:p w14:paraId="1B7E4CB1">
            <w:pPr>
              <w:widowControl/>
              <w:jc w:val="center"/>
              <w:textAlignment w:val="center"/>
              <w:rPr>
                <w:rFonts w:hint="eastAsia" w:ascii="方正仿宋_GBK" w:hAnsi="方正仿宋_GBK" w:eastAsia="方正仿宋_GBK" w:cs="方正仿宋_GBK"/>
                <w:color w:val="000000"/>
                <w:kern w:val="2"/>
                <w:sz w:val="21"/>
                <w:szCs w:val="21"/>
                <w:lang w:val="en-US" w:eastAsia="zh-CN" w:bidi="ar-SA"/>
              </w:rPr>
            </w:pPr>
          </w:p>
        </w:tc>
        <w:tc>
          <w:tcPr>
            <w:tcW w:w="1450" w:type="dxa"/>
            <w:tcBorders>
              <w:bottom w:val="single" w:color="auto" w:sz="4" w:space="0"/>
            </w:tcBorders>
            <w:noWrap w:val="0"/>
            <w:vAlign w:val="center"/>
          </w:tcPr>
          <w:p w14:paraId="54956609">
            <w:pPr>
              <w:widowControl/>
              <w:jc w:val="center"/>
              <w:textAlignment w:val="center"/>
              <w:rPr>
                <w:rFonts w:hint="eastAsia" w:ascii="方正仿宋_GBK" w:hAnsi="方正仿宋_GBK" w:eastAsia="方正仿宋_GBK" w:cs="方正仿宋_GBK"/>
                <w:b/>
                <w:color w:val="000000"/>
                <w:kern w:val="0"/>
                <w:sz w:val="21"/>
                <w:szCs w:val="21"/>
              </w:rPr>
            </w:pPr>
            <w:r>
              <w:rPr>
                <w:rFonts w:hint="eastAsia" w:ascii="方正仿宋_GBK" w:hAnsi="方正仿宋_GBK" w:eastAsia="方正仿宋_GBK" w:cs="方正仿宋_GBK"/>
                <w:b/>
                <w:color w:val="000000"/>
                <w:kern w:val="0"/>
                <w:sz w:val="21"/>
                <w:szCs w:val="21"/>
                <w:lang w:val="en-US" w:eastAsia="zh-CN"/>
              </w:rPr>
              <w:t>…</w:t>
            </w:r>
          </w:p>
        </w:tc>
        <w:tc>
          <w:tcPr>
            <w:tcW w:w="1225" w:type="dxa"/>
            <w:tcBorders>
              <w:bottom w:val="single" w:color="auto" w:sz="4" w:space="0"/>
            </w:tcBorders>
            <w:noWrap w:val="0"/>
            <w:vAlign w:val="center"/>
          </w:tcPr>
          <w:p w14:paraId="3D02CB03">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tcBorders>
              <w:bottom w:val="single" w:color="auto" w:sz="4" w:space="0"/>
            </w:tcBorders>
            <w:noWrap w:val="0"/>
            <w:vAlign w:val="center"/>
          </w:tcPr>
          <w:p w14:paraId="673EA653">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tcBorders>
              <w:bottom w:val="single" w:color="auto" w:sz="4" w:space="0"/>
            </w:tcBorders>
            <w:noWrap w:val="0"/>
            <w:vAlign w:val="center"/>
          </w:tcPr>
          <w:p w14:paraId="43DFC3FC">
            <w:pPr>
              <w:widowControl/>
              <w:jc w:val="center"/>
              <w:textAlignment w:val="center"/>
              <w:rPr>
                <w:rFonts w:hint="eastAsia" w:ascii="方正仿宋_GBK" w:hAnsi="方正仿宋_GBK" w:eastAsia="方正仿宋_GBK" w:cs="方正仿宋_GBK"/>
                <w:b/>
                <w:color w:val="000000"/>
                <w:kern w:val="0"/>
                <w:sz w:val="21"/>
                <w:szCs w:val="21"/>
              </w:rPr>
            </w:pPr>
          </w:p>
        </w:tc>
      </w:tr>
      <w:tr w14:paraId="35F8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5" w:type="dxa"/>
            <w:noWrap w:val="0"/>
            <w:vAlign w:val="center"/>
          </w:tcPr>
          <w:p w14:paraId="0D493C75">
            <w:pPr>
              <w:spacing w:line="500" w:lineRule="exact"/>
              <w:jc w:val="center"/>
              <w:rPr>
                <w:rFonts w:hint="eastAsia" w:ascii="宋体" w:hAnsi="宋体"/>
                <w:sz w:val="24"/>
                <w:szCs w:val="28"/>
              </w:rPr>
            </w:pPr>
          </w:p>
          <w:p w14:paraId="50926D21">
            <w:pPr>
              <w:spacing w:line="500" w:lineRule="exact"/>
              <w:jc w:val="center"/>
              <w:rPr>
                <w:rFonts w:hint="eastAsia" w:ascii="宋体" w:hAnsi="宋体"/>
                <w:sz w:val="24"/>
                <w:szCs w:val="28"/>
              </w:rPr>
            </w:pPr>
          </w:p>
        </w:tc>
        <w:tc>
          <w:tcPr>
            <w:tcW w:w="1713" w:type="dxa"/>
            <w:noWrap w:val="0"/>
            <w:vAlign w:val="center"/>
          </w:tcPr>
          <w:p w14:paraId="3DE065EA">
            <w:pPr>
              <w:spacing w:line="500" w:lineRule="exact"/>
              <w:jc w:val="center"/>
              <w:rPr>
                <w:rFonts w:hint="eastAsia" w:ascii="宋体" w:hAnsi="宋体"/>
                <w:sz w:val="24"/>
                <w:szCs w:val="28"/>
              </w:rPr>
            </w:pPr>
          </w:p>
        </w:tc>
        <w:tc>
          <w:tcPr>
            <w:tcW w:w="1125" w:type="dxa"/>
            <w:noWrap w:val="0"/>
            <w:vAlign w:val="center"/>
          </w:tcPr>
          <w:p w14:paraId="58714FB6">
            <w:pPr>
              <w:spacing w:line="500" w:lineRule="exact"/>
              <w:jc w:val="center"/>
              <w:rPr>
                <w:rFonts w:hint="eastAsia" w:ascii="宋体" w:hAnsi="宋体"/>
                <w:sz w:val="24"/>
                <w:szCs w:val="28"/>
              </w:rPr>
            </w:pPr>
          </w:p>
        </w:tc>
        <w:tc>
          <w:tcPr>
            <w:tcW w:w="712" w:type="dxa"/>
            <w:noWrap w:val="0"/>
            <w:vAlign w:val="center"/>
          </w:tcPr>
          <w:p w14:paraId="2EB6D1CA">
            <w:pPr>
              <w:spacing w:line="500" w:lineRule="exact"/>
              <w:jc w:val="center"/>
              <w:rPr>
                <w:rFonts w:hint="eastAsia" w:ascii="宋体" w:hAnsi="宋体"/>
                <w:sz w:val="24"/>
                <w:szCs w:val="28"/>
              </w:rPr>
            </w:pPr>
          </w:p>
        </w:tc>
        <w:tc>
          <w:tcPr>
            <w:tcW w:w="1450" w:type="dxa"/>
            <w:noWrap w:val="0"/>
            <w:vAlign w:val="center"/>
          </w:tcPr>
          <w:p w14:paraId="73AE5EB2">
            <w:pPr>
              <w:spacing w:line="500" w:lineRule="exact"/>
              <w:jc w:val="center"/>
              <w:rPr>
                <w:rFonts w:hint="eastAsia" w:ascii="宋体" w:hAnsi="宋体"/>
                <w:sz w:val="24"/>
                <w:szCs w:val="28"/>
              </w:rPr>
            </w:pPr>
          </w:p>
        </w:tc>
        <w:tc>
          <w:tcPr>
            <w:tcW w:w="1225" w:type="dxa"/>
            <w:noWrap w:val="0"/>
            <w:vAlign w:val="center"/>
          </w:tcPr>
          <w:p w14:paraId="063E6D76">
            <w:pPr>
              <w:spacing w:line="500" w:lineRule="exact"/>
              <w:jc w:val="center"/>
              <w:rPr>
                <w:rFonts w:hint="eastAsia" w:ascii="宋体" w:hAnsi="宋体"/>
                <w:sz w:val="24"/>
                <w:szCs w:val="28"/>
              </w:rPr>
            </w:pPr>
          </w:p>
        </w:tc>
        <w:tc>
          <w:tcPr>
            <w:tcW w:w="1250" w:type="dxa"/>
            <w:noWrap w:val="0"/>
            <w:vAlign w:val="center"/>
          </w:tcPr>
          <w:p w14:paraId="1A70CAD1">
            <w:pPr>
              <w:spacing w:line="500" w:lineRule="exact"/>
              <w:jc w:val="center"/>
              <w:rPr>
                <w:rFonts w:hint="eastAsia" w:ascii="宋体" w:hAnsi="宋体"/>
                <w:sz w:val="24"/>
                <w:szCs w:val="28"/>
              </w:rPr>
            </w:pPr>
          </w:p>
        </w:tc>
        <w:tc>
          <w:tcPr>
            <w:tcW w:w="1375" w:type="dxa"/>
            <w:noWrap w:val="0"/>
            <w:vAlign w:val="center"/>
          </w:tcPr>
          <w:p w14:paraId="400B66EA">
            <w:pPr>
              <w:spacing w:line="500" w:lineRule="exact"/>
              <w:jc w:val="center"/>
              <w:rPr>
                <w:rFonts w:hint="eastAsia" w:ascii="宋体" w:hAnsi="宋体"/>
                <w:sz w:val="24"/>
                <w:szCs w:val="28"/>
              </w:rPr>
            </w:pPr>
          </w:p>
        </w:tc>
      </w:tr>
      <w:tr w14:paraId="13CB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5" w:type="dxa"/>
            <w:noWrap w:val="0"/>
            <w:vAlign w:val="center"/>
          </w:tcPr>
          <w:p w14:paraId="318AF785">
            <w:pPr>
              <w:spacing w:line="500" w:lineRule="exact"/>
              <w:jc w:val="center"/>
              <w:rPr>
                <w:rFonts w:hint="eastAsia" w:ascii="宋体" w:hAnsi="宋体"/>
                <w:sz w:val="24"/>
                <w:szCs w:val="28"/>
              </w:rPr>
            </w:pPr>
          </w:p>
        </w:tc>
        <w:tc>
          <w:tcPr>
            <w:tcW w:w="1713" w:type="dxa"/>
            <w:noWrap w:val="0"/>
            <w:vAlign w:val="center"/>
          </w:tcPr>
          <w:p w14:paraId="599C2F4B">
            <w:pPr>
              <w:spacing w:line="500" w:lineRule="exact"/>
              <w:jc w:val="center"/>
              <w:rPr>
                <w:rFonts w:hint="eastAsia" w:ascii="宋体" w:hAnsi="宋体"/>
                <w:sz w:val="24"/>
                <w:szCs w:val="28"/>
              </w:rPr>
            </w:pPr>
          </w:p>
        </w:tc>
        <w:tc>
          <w:tcPr>
            <w:tcW w:w="1125" w:type="dxa"/>
            <w:noWrap w:val="0"/>
            <w:vAlign w:val="center"/>
          </w:tcPr>
          <w:p w14:paraId="79B41F16">
            <w:pPr>
              <w:spacing w:line="500" w:lineRule="exact"/>
              <w:jc w:val="center"/>
              <w:rPr>
                <w:rFonts w:hint="eastAsia" w:ascii="宋体" w:hAnsi="宋体"/>
                <w:sz w:val="24"/>
                <w:szCs w:val="28"/>
              </w:rPr>
            </w:pPr>
          </w:p>
        </w:tc>
        <w:tc>
          <w:tcPr>
            <w:tcW w:w="712" w:type="dxa"/>
            <w:noWrap w:val="0"/>
            <w:vAlign w:val="center"/>
          </w:tcPr>
          <w:p w14:paraId="5C28638A">
            <w:pPr>
              <w:spacing w:line="500" w:lineRule="exact"/>
              <w:jc w:val="center"/>
              <w:rPr>
                <w:rFonts w:hint="eastAsia" w:ascii="宋体" w:hAnsi="宋体"/>
                <w:sz w:val="24"/>
                <w:szCs w:val="28"/>
              </w:rPr>
            </w:pPr>
          </w:p>
        </w:tc>
        <w:tc>
          <w:tcPr>
            <w:tcW w:w="1450" w:type="dxa"/>
            <w:noWrap w:val="0"/>
            <w:vAlign w:val="center"/>
          </w:tcPr>
          <w:p w14:paraId="53D32DB8">
            <w:pPr>
              <w:spacing w:line="500" w:lineRule="exact"/>
              <w:jc w:val="center"/>
              <w:rPr>
                <w:rFonts w:hint="eastAsia" w:ascii="宋体" w:hAnsi="宋体"/>
                <w:sz w:val="24"/>
                <w:szCs w:val="28"/>
              </w:rPr>
            </w:pPr>
          </w:p>
        </w:tc>
        <w:tc>
          <w:tcPr>
            <w:tcW w:w="1225" w:type="dxa"/>
            <w:noWrap w:val="0"/>
            <w:vAlign w:val="center"/>
          </w:tcPr>
          <w:p w14:paraId="7C29F61B">
            <w:pPr>
              <w:spacing w:line="500" w:lineRule="exact"/>
              <w:jc w:val="center"/>
              <w:rPr>
                <w:rFonts w:hint="eastAsia" w:ascii="宋体" w:hAnsi="宋体"/>
                <w:sz w:val="24"/>
                <w:szCs w:val="28"/>
              </w:rPr>
            </w:pPr>
          </w:p>
        </w:tc>
        <w:tc>
          <w:tcPr>
            <w:tcW w:w="1250" w:type="dxa"/>
            <w:noWrap w:val="0"/>
            <w:vAlign w:val="center"/>
          </w:tcPr>
          <w:p w14:paraId="58E5D7C2">
            <w:pPr>
              <w:spacing w:line="500" w:lineRule="exact"/>
              <w:jc w:val="center"/>
              <w:rPr>
                <w:rFonts w:hint="eastAsia" w:ascii="宋体" w:hAnsi="宋体"/>
                <w:sz w:val="24"/>
                <w:szCs w:val="28"/>
              </w:rPr>
            </w:pPr>
          </w:p>
        </w:tc>
        <w:tc>
          <w:tcPr>
            <w:tcW w:w="1375" w:type="dxa"/>
            <w:noWrap w:val="0"/>
            <w:vAlign w:val="center"/>
          </w:tcPr>
          <w:p w14:paraId="7D9561C8">
            <w:pPr>
              <w:spacing w:line="500" w:lineRule="exact"/>
              <w:jc w:val="center"/>
              <w:rPr>
                <w:rFonts w:hint="eastAsia" w:ascii="宋体" w:hAnsi="宋体"/>
                <w:sz w:val="24"/>
                <w:szCs w:val="28"/>
              </w:rPr>
            </w:pPr>
          </w:p>
        </w:tc>
      </w:tr>
      <w:tr w14:paraId="4E40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95" w:type="dxa"/>
            <w:noWrap w:val="0"/>
            <w:vAlign w:val="center"/>
          </w:tcPr>
          <w:p w14:paraId="53E61EBD">
            <w:pPr>
              <w:spacing w:line="500" w:lineRule="exact"/>
              <w:jc w:val="center"/>
              <w:rPr>
                <w:rFonts w:hint="eastAsia" w:ascii="宋体" w:hAnsi="宋体"/>
                <w:sz w:val="24"/>
                <w:szCs w:val="28"/>
              </w:rPr>
            </w:pPr>
          </w:p>
        </w:tc>
        <w:tc>
          <w:tcPr>
            <w:tcW w:w="1713" w:type="dxa"/>
            <w:noWrap w:val="0"/>
            <w:vAlign w:val="center"/>
          </w:tcPr>
          <w:p w14:paraId="1E266510">
            <w:pPr>
              <w:spacing w:line="500" w:lineRule="exact"/>
              <w:jc w:val="center"/>
              <w:rPr>
                <w:rFonts w:hint="eastAsia" w:ascii="宋体" w:hAnsi="宋体"/>
                <w:sz w:val="24"/>
                <w:szCs w:val="28"/>
              </w:rPr>
            </w:pPr>
          </w:p>
        </w:tc>
        <w:tc>
          <w:tcPr>
            <w:tcW w:w="1125" w:type="dxa"/>
            <w:noWrap w:val="0"/>
            <w:vAlign w:val="center"/>
          </w:tcPr>
          <w:p w14:paraId="7B9B379E">
            <w:pPr>
              <w:spacing w:line="500" w:lineRule="exact"/>
              <w:jc w:val="center"/>
              <w:rPr>
                <w:rFonts w:hint="eastAsia" w:ascii="宋体" w:hAnsi="宋体"/>
                <w:sz w:val="24"/>
                <w:szCs w:val="28"/>
              </w:rPr>
            </w:pPr>
          </w:p>
        </w:tc>
        <w:tc>
          <w:tcPr>
            <w:tcW w:w="712" w:type="dxa"/>
            <w:noWrap w:val="0"/>
            <w:vAlign w:val="center"/>
          </w:tcPr>
          <w:p w14:paraId="355988A8">
            <w:pPr>
              <w:spacing w:line="500" w:lineRule="exact"/>
              <w:jc w:val="center"/>
              <w:rPr>
                <w:rFonts w:hint="eastAsia" w:ascii="宋体" w:hAnsi="宋体"/>
                <w:sz w:val="24"/>
                <w:szCs w:val="28"/>
              </w:rPr>
            </w:pPr>
          </w:p>
        </w:tc>
        <w:tc>
          <w:tcPr>
            <w:tcW w:w="1450" w:type="dxa"/>
            <w:noWrap w:val="0"/>
            <w:vAlign w:val="center"/>
          </w:tcPr>
          <w:p w14:paraId="5BA799E3">
            <w:pPr>
              <w:spacing w:line="500" w:lineRule="exact"/>
              <w:jc w:val="center"/>
              <w:rPr>
                <w:rFonts w:hint="eastAsia" w:ascii="宋体" w:hAnsi="宋体"/>
                <w:sz w:val="24"/>
                <w:szCs w:val="28"/>
              </w:rPr>
            </w:pPr>
          </w:p>
        </w:tc>
        <w:tc>
          <w:tcPr>
            <w:tcW w:w="1225" w:type="dxa"/>
            <w:noWrap w:val="0"/>
            <w:vAlign w:val="center"/>
          </w:tcPr>
          <w:p w14:paraId="1E221A95">
            <w:pPr>
              <w:spacing w:line="500" w:lineRule="exact"/>
              <w:jc w:val="center"/>
              <w:rPr>
                <w:rFonts w:hint="eastAsia" w:ascii="宋体" w:hAnsi="宋体"/>
                <w:sz w:val="24"/>
                <w:szCs w:val="28"/>
              </w:rPr>
            </w:pPr>
          </w:p>
        </w:tc>
        <w:tc>
          <w:tcPr>
            <w:tcW w:w="1250" w:type="dxa"/>
            <w:noWrap w:val="0"/>
            <w:vAlign w:val="center"/>
          </w:tcPr>
          <w:p w14:paraId="5F0A34FA">
            <w:pPr>
              <w:spacing w:line="500" w:lineRule="exact"/>
              <w:jc w:val="center"/>
              <w:rPr>
                <w:rFonts w:hint="eastAsia" w:ascii="宋体" w:hAnsi="宋体"/>
                <w:sz w:val="24"/>
                <w:szCs w:val="28"/>
              </w:rPr>
            </w:pPr>
          </w:p>
        </w:tc>
        <w:tc>
          <w:tcPr>
            <w:tcW w:w="1375" w:type="dxa"/>
            <w:noWrap w:val="0"/>
            <w:vAlign w:val="center"/>
          </w:tcPr>
          <w:p w14:paraId="09478C46">
            <w:pPr>
              <w:spacing w:line="500" w:lineRule="exact"/>
              <w:jc w:val="center"/>
              <w:rPr>
                <w:rFonts w:hint="eastAsia" w:ascii="宋体" w:hAnsi="宋体"/>
                <w:sz w:val="24"/>
                <w:szCs w:val="28"/>
              </w:rPr>
            </w:pPr>
          </w:p>
        </w:tc>
      </w:tr>
      <w:tr w14:paraId="4989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5" w:type="dxa"/>
            <w:noWrap w:val="0"/>
            <w:vAlign w:val="center"/>
          </w:tcPr>
          <w:p w14:paraId="65EDEAA7">
            <w:pPr>
              <w:spacing w:line="500" w:lineRule="exact"/>
              <w:jc w:val="center"/>
              <w:rPr>
                <w:rFonts w:hint="eastAsia" w:ascii="宋体" w:hAnsi="宋体"/>
                <w:sz w:val="24"/>
                <w:szCs w:val="28"/>
              </w:rPr>
            </w:pPr>
          </w:p>
        </w:tc>
        <w:tc>
          <w:tcPr>
            <w:tcW w:w="1713" w:type="dxa"/>
            <w:noWrap w:val="0"/>
            <w:vAlign w:val="center"/>
          </w:tcPr>
          <w:p w14:paraId="1D10D48B">
            <w:pPr>
              <w:spacing w:line="500" w:lineRule="exact"/>
              <w:jc w:val="center"/>
              <w:rPr>
                <w:rFonts w:hint="eastAsia" w:ascii="宋体" w:hAnsi="宋体"/>
                <w:sz w:val="24"/>
                <w:szCs w:val="28"/>
              </w:rPr>
            </w:pPr>
          </w:p>
        </w:tc>
        <w:tc>
          <w:tcPr>
            <w:tcW w:w="1125" w:type="dxa"/>
            <w:noWrap w:val="0"/>
            <w:vAlign w:val="center"/>
          </w:tcPr>
          <w:p w14:paraId="303823BC">
            <w:pPr>
              <w:spacing w:line="500" w:lineRule="exact"/>
              <w:jc w:val="center"/>
              <w:rPr>
                <w:rFonts w:hint="eastAsia" w:ascii="宋体" w:hAnsi="宋体"/>
                <w:sz w:val="24"/>
                <w:szCs w:val="28"/>
              </w:rPr>
            </w:pPr>
          </w:p>
        </w:tc>
        <w:tc>
          <w:tcPr>
            <w:tcW w:w="712" w:type="dxa"/>
            <w:noWrap w:val="0"/>
            <w:vAlign w:val="center"/>
          </w:tcPr>
          <w:p w14:paraId="29361B5B">
            <w:pPr>
              <w:spacing w:line="500" w:lineRule="exact"/>
              <w:jc w:val="center"/>
              <w:rPr>
                <w:rFonts w:hint="eastAsia" w:ascii="宋体" w:hAnsi="宋体"/>
                <w:sz w:val="24"/>
                <w:szCs w:val="28"/>
              </w:rPr>
            </w:pPr>
          </w:p>
        </w:tc>
        <w:tc>
          <w:tcPr>
            <w:tcW w:w="1450" w:type="dxa"/>
            <w:noWrap w:val="0"/>
            <w:vAlign w:val="center"/>
          </w:tcPr>
          <w:p w14:paraId="4B65D297">
            <w:pPr>
              <w:spacing w:line="500" w:lineRule="exact"/>
              <w:jc w:val="center"/>
              <w:rPr>
                <w:rFonts w:hint="eastAsia" w:ascii="宋体" w:hAnsi="宋体"/>
                <w:sz w:val="24"/>
                <w:szCs w:val="28"/>
              </w:rPr>
            </w:pPr>
          </w:p>
        </w:tc>
        <w:tc>
          <w:tcPr>
            <w:tcW w:w="1225" w:type="dxa"/>
            <w:noWrap w:val="0"/>
            <w:vAlign w:val="center"/>
          </w:tcPr>
          <w:p w14:paraId="2DABBF5A">
            <w:pPr>
              <w:spacing w:line="500" w:lineRule="exact"/>
              <w:jc w:val="center"/>
              <w:rPr>
                <w:rFonts w:hint="eastAsia" w:ascii="宋体" w:hAnsi="宋体"/>
                <w:sz w:val="24"/>
                <w:szCs w:val="28"/>
              </w:rPr>
            </w:pPr>
          </w:p>
        </w:tc>
        <w:tc>
          <w:tcPr>
            <w:tcW w:w="1250" w:type="dxa"/>
            <w:noWrap w:val="0"/>
            <w:vAlign w:val="center"/>
          </w:tcPr>
          <w:p w14:paraId="07F33DE9">
            <w:pPr>
              <w:spacing w:line="500" w:lineRule="exact"/>
              <w:jc w:val="center"/>
              <w:rPr>
                <w:rFonts w:hint="eastAsia" w:ascii="宋体" w:hAnsi="宋体"/>
                <w:sz w:val="24"/>
                <w:szCs w:val="28"/>
              </w:rPr>
            </w:pPr>
          </w:p>
        </w:tc>
        <w:tc>
          <w:tcPr>
            <w:tcW w:w="1375" w:type="dxa"/>
            <w:noWrap w:val="0"/>
            <w:vAlign w:val="center"/>
          </w:tcPr>
          <w:p w14:paraId="75F251CC">
            <w:pPr>
              <w:spacing w:line="500" w:lineRule="exact"/>
              <w:jc w:val="center"/>
              <w:rPr>
                <w:rFonts w:hint="eastAsia" w:ascii="宋体" w:hAnsi="宋体"/>
                <w:sz w:val="24"/>
                <w:szCs w:val="28"/>
              </w:rPr>
            </w:pPr>
          </w:p>
        </w:tc>
      </w:tr>
      <w:tr w14:paraId="6C66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5" w:type="dxa"/>
            <w:noWrap w:val="0"/>
            <w:vAlign w:val="center"/>
          </w:tcPr>
          <w:p w14:paraId="3505D510">
            <w:pPr>
              <w:widowControl/>
              <w:jc w:val="center"/>
              <w:textAlignment w:val="center"/>
              <w:rPr>
                <w:rFonts w:hint="eastAsia" w:ascii="方正仿宋_GBK" w:hAnsi="方正仿宋_GBK" w:eastAsia="方正仿宋_GBK" w:cs="方正仿宋_GBK"/>
                <w:b/>
                <w:color w:val="000000"/>
                <w:kern w:val="0"/>
                <w:sz w:val="21"/>
                <w:szCs w:val="21"/>
                <w:lang w:val="en-US" w:eastAsia="zh-CN"/>
              </w:rPr>
            </w:pPr>
            <w:r>
              <w:rPr>
                <w:rFonts w:hint="eastAsia" w:ascii="方正仿宋_GBK" w:hAnsi="方正仿宋_GBK" w:eastAsia="方正仿宋_GBK" w:cs="方正仿宋_GBK"/>
                <w:b/>
                <w:color w:val="000000"/>
                <w:kern w:val="0"/>
                <w:sz w:val="21"/>
                <w:szCs w:val="21"/>
                <w:lang w:val="en-US" w:eastAsia="zh-CN"/>
              </w:rPr>
              <w:t>合计</w:t>
            </w:r>
          </w:p>
        </w:tc>
        <w:tc>
          <w:tcPr>
            <w:tcW w:w="1713" w:type="dxa"/>
            <w:noWrap w:val="0"/>
            <w:vAlign w:val="center"/>
          </w:tcPr>
          <w:p w14:paraId="6FF09256">
            <w:pPr>
              <w:widowControl/>
              <w:jc w:val="center"/>
              <w:textAlignment w:val="center"/>
              <w:rPr>
                <w:rFonts w:hint="eastAsia" w:ascii="方正仿宋_GBK" w:hAnsi="方正仿宋_GBK" w:eastAsia="方正仿宋_GBK" w:cs="方正仿宋_GBK"/>
                <w:b/>
                <w:color w:val="000000"/>
                <w:kern w:val="0"/>
                <w:sz w:val="21"/>
                <w:szCs w:val="21"/>
              </w:rPr>
            </w:pPr>
          </w:p>
        </w:tc>
        <w:tc>
          <w:tcPr>
            <w:tcW w:w="1125" w:type="dxa"/>
            <w:noWrap w:val="0"/>
            <w:vAlign w:val="center"/>
          </w:tcPr>
          <w:p w14:paraId="62EC25AE">
            <w:pPr>
              <w:widowControl/>
              <w:jc w:val="center"/>
              <w:textAlignment w:val="center"/>
              <w:rPr>
                <w:rFonts w:hint="eastAsia" w:ascii="方正仿宋_GBK" w:hAnsi="方正仿宋_GBK" w:eastAsia="方正仿宋_GBK" w:cs="方正仿宋_GBK"/>
                <w:b/>
                <w:color w:val="000000"/>
                <w:kern w:val="0"/>
                <w:sz w:val="21"/>
                <w:szCs w:val="21"/>
              </w:rPr>
            </w:pPr>
          </w:p>
        </w:tc>
        <w:tc>
          <w:tcPr>
            <w:tcW w:w="712" w:type="dxa"/>
            <w:noWrap w:val="0"/>
            <w:vAlign w:val="center"/>
          </w:tcPr>
          <w:p w14:paraId="5543B36A">
            <w:pPr>
              <w:widowControl/>
              <w:jc w:val="center"/>
              <w:textAlignment w:val="center"/>
              <w:rPr>
                <w:rFonts w:hint="eastAsia" w:ascii="方正仿宋_GBK" w:hAnsi="方正仿宋_GBK" w:eastAsia="方正仿宋_GBK" w:cs="方正仿宋_GBK"/>
                <w:b/>
                <w:color w:val="000000"/>
                <w:kern w:val="0"/>
                <w:sz w:val="21"/>
                <w:szCs w:val="21"/>
              </w:rPr>
            </w:pPr>
          </w:p>
        </w:tc>
        <w:tc>
          <w:tcPr>
            <w:tcW w:w="1450" w:type="dxa"/>
            <w:noWrap w:val="0"/>
            <w:vAlign w:val="center"/>
          </w:tcPr>
          <w:p w14:paraId="1AF1D9AD">
            <w:pPr>
              <w:widowControl/>
              <w:jc w:val="center"/>
              <w:textAlignment w:val="center"/>
              <w:rPr>
                <w:rFonts w:hint="eastAsia" w:ascii="方正仿宋_GBK" w:hAnsi="方正仿宋_GBK" w:eastAsia="方正仿宋_GBK" w:cs="方正仿宋_GBK"/>
                <w:b/>
                <w:color w:val="000000"/>
                <w:kern w:val="0"/>
                <w:sz w:val="21"/>
                <w:szCs w:val="21"/>
              </w:rPr>
            </w:pPr>
          </w:p>
        </w:tc>
        <w:tc>
          <w:tcPr>
            <w:tcW w:w="1225" w:type="dxa"/>
            <w:noWrap w:val="0"/>
            <w:vAlign w:val="center"/>
          </w:tcPr>
          <w:p w14:paraId="47FBE223">
            <w:pPr>
              <w:widowControl/>
              <w:jc w:val="center"/>
              <w:textAlignment w:val="center"/>
              <w:rPr>
                <w:rFonts w:hint="eastAsia" w:ascii="方正仿宋_GBK" w:hAnsi="方正仿宋_GBK" w:eastAsia="方正仿宋_GBK" w:cs="方正仿宋_GBK"/>
                <w:b/>
                <w:color w:val="000000"/>
                <w:kern w:val="0"/>
                <w:sz w:val="21"/>
                <w:szCs w:val="21"/>
              </w:rPr>
            </w:pPr>
          </w:p>
        </w:tc>
        <w:tc>
          <w:tcPr>
            <w:tcW w:w="1250" w:type="dxa"/>
            <w:noWrap w:val="0"/>
            <w:vAlign w:val="center"/>
          </w:tcPr>
          <w:p w14:paraId="641A8801">
            <w:pPr>
              <w:widowControl/>
              <w:jc w:val="center"/>
              <w:textAlignment w:val="center"/>
              <w:rPr>
                <w:rFonts w:hint="eastAsia" w:ascii="方正仿宋_GBK" w:hAnsi="方正仿宋_GBK" w:eastAsia="方正仿宋_GBK" w:cs="方正仿宋_GBK"/>
                <w:b/>
                <w:color w:val="000000"/>
                <w:kern w:val="0"/>
                <w:sz w:val="21"/>
                <w:szCs w:val="21"/>
              </w:rPr>
            </w:pPr>
          </w:p>
        </w:tc>
        <w:tc>
          <w:tcPr>
            <w:tcW w:w="1375" w:type="dxa"/>
            <w:noWrap w:val="0"/>
            <w:vAlign w:val="center"/>
          </w:tcPr>
          <w:p w14:paraId="72753133">
            <w:pPr>
              <w:widowControl/>
              <w:jc w:val="center"/>
              <w:textAlignment w:val="center"/>
              <w:rPr>
                <w:rFonts w:hint="eastAsia" w:ascii="方正仿宋_GBK" w:hAnsi="方正仿宋_GBK" w:eastAsia="方正仿宋_GBK" w:cs="方正仿宋_GBK"/>
                <w:b/>
                <w:color w:val="000000"/>
                <w:kern w:val="0"/>
                <w:sz w:val="21"/>
                <w:szCs w:val="21"/>
              </w:rPr>
            </w:pPr>
          </w:p>
        </w:tc>
      </w:tr>
    </w:tbl>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5" w:name="OLE_LINK1"/>
      <w:bookmarkStart w:id="16" w:name="OLE_LINK2"/>
      <w:r>
        <w:rPr>
          <w:rFonts w:hint="eastAsia" w:ascii="方正仿宋_GBK" w:hAnsi="方正仿宋_GBK" w:eastAsia="方正仿宋_GBK" w:cs="方正仿宋_GBK"/>
          <w:sz w:val="24"/>
          <w:szCs w:val="24"/>
        </w:rPr>
        <w:t>，并逐页签字或盖章。</w:t>
      </w:r>
      <w:bookmarkEnd w:id="15"/>
      <w:bookmarkEnd w:id="16"/>
    </w:p>
    <w:p w14:paraId="1192E1BF">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1FEF4BC1">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     月    日</w:t>
      </w:r>
    </w:p>
    <w:p w14:paraId="26F8DE50">
      <w:pPr>
        <w:pStyle w:val="4"/>
        <w:spacing w:before="0" w:after="0" w:line="400" w:lineRule="atLeast"/>
        <w:jc w:val="center"/>
        <w:rPr>
          <w:rFonts w:hint="eastAsia" w:ascii="方正仿宋_GBK" w:hAnsi="宋体" w:eastAsia="方正仿宋_GBK"/>
          <w:sz w:val="24"/>
          <w:szCs w:val="24"/>
        </w:rPr>
      </w:pPr>
      <w:bookmarkStart w:id="17" w:name="_Toc9129"/>
      <w:r>
        <w:rPr>
          <w:rFonts w:hint="eastAsia" w:ascii="方正仿宋_GBK" w:hAnsi="宋体" w:eastAsia="方正仿宋_GBK"/>
          <w:sz w:val="24"/>
          <w:szCs w:val="24"/>
        </w:rPr>
        <w:t>服务部分</w:t>
      </w:r>
      <w:bookmarkEnd w:id="17"/>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8" w:name="_Toc313888363"/>
      <w:bookmarkStart w:id="19" w:name="_Toc29554"/>
      <w:bookmarkStart w:id="20" w:name="_Toc342913422"/>
      <w:bookmarkStart w:id="21" w:name="_Toc313008359"/>
    </w:p>
    <w:p w14:paraId="580DC474">
      <w:pPr>
        <w:pStyle w:val="22"/>
        <w:jc w:val="center"/>
        <w:rPr>
          <w:rFonts w:hint="eastAsia"/>
        </w:rPr>
      </w:pPr>
      <w:r>
        <w:br w:type="page"/>
      </w:r>
      <w:r>
        <w:rPr>
          <w:rFonts w:hint="eastAsia"/>
        </w:rPr>
        <w:t>资格条件及其他</w:t>
      </w:r>
      <w:bookmarkEnd w:id="18"/>
      <w:bookmarkEnd w:id="19"/>
      <w:bookmarkEnd w:id="20"/>
      <w:bookmarkEnd w:id="21"/>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A3E227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                                （签字或盖章）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7B49289C">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 xml:space="preserve"> </w:t>
      </w:r>
    </w:p>
    <w:p w14:paraId="71211CFA">
      <w:pPr>
        <w:pStyle w:val="4"/>
        <w:spacing w:before="0" w:after="0" w:line="360" w:lineRule="auto"/>
        <w:rPr>
          <w:rFonts w:ascii="方正仿宋_GBK" w:hAnsi="宋体" w:eastAsia="方正仿宋_GBK"/>
        </w:rPr>
      </w:pPr>
    </w:p>
    <w:p w14:paraId="32B49095">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9B486F-A2BE-42D3-9A06-45FDE6BF5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B0C02F8-FB3D-4A86-8035-3455A63BFE3F}"/>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8BBFA9CC-083C-4E8B-9409-367AA3587CDB}"/>
  </w:font>
  <w:font w:name="方正小标宋_GBK">
    <w:panose1 w:val="03000509000000000000"/>
    <w:charset w:val="86"/>
    <w:family w:val="script"/>
    <w:pitch w:val="default"/>
    <w:sig w:usb0="00000001" w:usb1="080E0000" w:usb2="00000000" w:usb3="00000000" w:csb0="00040000" w:csb1="00000000"/>
    <w:embedRegular r:id="rId4" w:fontKey="{FDDD7978-7F8D-4E0D-B2CD-FBA36923E53C}"/>
  </w:font>
  <w:font w:name="方正仿宋_GBK">
    <w:panose1 w:val="03000509000000000000"/>
    <w:charset w:val="86"/>
    <w:family w:val="script"/>
    <w:pitch w:val="default"/>
    <w:sig w:usb0="00000001" w:usb1="080E0000" w:usb2="00000000" w:usb3="00000000" w:csb0="00040000" w:csb1="00000000"/>
    <w:embedRegular r:id="rId5" w:fontKey="{37C7C112-579C-4417-B672-B5DE61E66E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 xml:space="preserve">重庆轻工职业学院                                                        </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 xml:space="preserve">重庆轻工职业学院                                                          </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 xml:space="preserve">重庆轻工职业学院                                                     </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9E244F6"/>
    <w:rsid w:val="0A94148E"/>
    <w:rsid w:val="0E661791"/>
    <w:rsid w:val="0FA06C46"/>
    <w:rsid w:val="11B706CE"/>
    <w:rsid w:val="12FB2058"/>
    <w:rsid w:val="147A5E14"/>
    <w:rsid w:val="148661CC"/>
    <w:rsid w:val="14EF16B4"/>
    <w:rsid w:val="15674B2D"/>
    <w:rsid w:val="15F351B4"/>
    <w:rsid w:val="16A33137"/>
    <w:rsid w:val="16C402B7"/>
    <w:rsid w:val="16E26A5D"/>
    <w:rsid w:val="18527D7D"/>
    <w:rsid w:val="18ED7A84"/>
    <w:rsid w:val="19302BDA"/>
    <w:rsid w:val="1A283A68"/>
    <w:rsid w:val="1FCE365F"/>
    <w:rsid w:val="21EE565A"/>
    <w:rsid w:val="22DE4722"/>
    <w:rsid w:val="25937E4D"/>
    <w:rsid w:val="26105650"/>
    <w:rsid w:val="27546766"/>
    <w:rsid w:val="27CC5652"/>
    <w:rsid w:val="2A163C02"/>
    <w:rsid w:val="2CE10930"/>
    <w:rsid w:val="2D39592C"/>
    <w:rsid w:val="2DC64273"/>
    <w:rsid w:val="2E0F4246"/>
    <w:rsid w:val="32686177"/>
    <w:rsid w:val="3387649B"/>
    <w:rsid w:val="33F65757"/>
    <w:rsid w:val="34987E65"/>
    <w:rsid w:val="35B91D00"/>
    <w:rsid w:val="36D073F0"/>
    <w:rsid w:val="375B0AE1"/>
    <w:rsid w:val="39651FFA"/>
    <w:rsid w:val="3B1653FD"/>
    <w:rsid w:val="3D7D7703"/>
    <w:rsid w:val="3E1A7A73"/>
    <w:rsid w:val="40C13A19"/>
    <w:rsid w:val="41B10CFB"/>
    <w:rsid w:val="42E226BF"/>
    <w:rsid w:val="42F83566"/>
    <w:rsid w:val="436E715B"/>
    <w:rsid w:val="43D1176E"/>
    <w:rsid w:val="467033F0"/>
    <w:rsid w:val="467B5848"/>
    <w:rsid w:val="47F84F82"/>
    <w:rsid w:val="494C574E"/>
    <w:rsid w:val="4B1D5346"/>
    <w:rsid w:val="4BB8666E"/>
    <w:rsid w:val="4DE3709F"/>
    <w:rsid w:val="4FD9556C"/>
    <w:rsid w:val="5124266C"/>
    <w:rsid w:val="514B266A"/>
    <w:rsid w:val="51A14074"/>
    <w:rsid w:val="51D70416"/>
    <w:rsid w:val="52D92ACB"/>
    <w:rsid w:val="54527E59"/>
    <w:rsid w:val="57304CC7"/>
    <w:rsid w:val="573B7741"/>
    <w:rsid w:val="591C35B4"/>
    <w:rsid w:val="5CC34D9B"/>
    <w:rsid w:val="5EE24390"/>
    <w:rsid w:val="5FFD36F8"/>
    <w:rsid w:val="60553E54"/>
    <w:rsid w:val="60FC0F80"/>
    <w:rsid w:val="62487958"/>
    <w:rsid w:val="62AF1D53"/>
    <w:rsid w:val="62C95382"/>
    <w:rsid w:val="63535AFA"/>
    <w:rsid w:val="63907BE2"/>
    <w:rsid w:val="63E96BD1"/>
    <w:rsid w:val="64974D48"/>
    <w:rsid w:val="668B505C"/>
    <w:rsid w:val="67A45D01"/>
    <w:rsid w:val="681004EC"/>
    <w:rsid w:val="688E7D70"/>
    <w:rsid w:val="690D4C54"/>
    <w:rsid w:val="69D72936"/>
    <w:rsid w:val="6BC35862"/>
    <w:rsid w:val="6FE969BF"/>
    <w:rsid w:val="74272CF4"/>
    <w:rsid w:val="74BE27EA"/>
    <w:rsid w:val="75047BCC"/>
    <w:rsid w:val="75821629"/>
    <w:rsid w:val="764514C4"/>
    <w:rsid w:val="7921227C"/>
    <w:rsid w:val="7A3D4CA5"/>
    <w:rsid w:val="7B15512D"/>
    <w:rsid w:val="7BCA67C5"/>
    <w:rsid w:val="7BCA7053"/>
    <w:rsid w:val="7CB5427C"/>
    <w:rsid w:val="7CD9296D"/>
    <w:rsid w:val="7CDD287A"/>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5349</Words>
  <Characters>5598</Characters>
  <Lines>33</Lines>
  <Paragraphs>9</Paragraphs>
  <TotalTime>0</TotalTime>
  <ScaleCrop>false</ScaleCrop>
  <LinksUpToDate>false</LinksUpToDate>
  <CharactersWithSpaces>6317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2025-07-23T02:34:38Z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C0E43BB6BD614B0681CE1BD1759DB739_13</vt:lpwstr>
  </property>
  <property fmtid="{D5CDD505-2E9C-101B-9397-08002B2CF9AE}" pid="4" name="KSOTemplateDocerSaveRecord">
    <vt:lpwstr>eyJoZGlkIjoiNDhkMmQyMTM3ZDI2OTgxNjE3NmM0ZjhlZTI4ODExOTUiLCJ1c2VySWQiOiIxMjU3NDg3NTgxIn0=</vt:lpwstr>
  </property>
</Properties>
</file>